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DDB5" w14:textId="5E8FC963" w:rsidR="00AB2E4C" w:rsidRPr="007D65B6" w:rsidRDefault="00AB2E4C" w:rsidP="007D65B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7D65B6">
        <w:rPr>
          <w:rFonts w:ascii="Arial" w:hAnsi="Arial" w:cs="Arial"/>
          <w:b/>
          <w:bCs/>
          <w:sz w:val="23"/>
          <w:szCs w:val="23"/>
        </w:rPr>
        <w:t>Plan de capacitación en negociaciones comerciales en materia de</w:t>
      </w:r>
    </w:p>
    <w:p w14:paraId="59042BE3" w14:textId="283D2C13" w:rsidR="00AB2E4C" w:rsidRPr="007D65B6" w:rsidRDefault="00D267B8" w:rsidP="007D65B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género</w:t>
      </w:r>
      <w:r w:rsidR="00AB2E4C" w:rsidRPr="007D65B6">
        <w:rPr>
          <w:rFonts w:ascii="Arial" w:hAnsi="Arial" w:cs="Arial"/>
          <w:b/>
          <w:bCs/>
          <w:sz w:val="23"/>
          <w:szCs w:val="23"/>
        </w:rPr>
        <w:t xml:space="preserve"> para el Ministerio de Producción, Comercio Exterior, Inversiones y Pesca de la República de Ecuador (MPCEIP)</w:t>
      </w:r>
    </w:p>
    <w:p w14:paraId="10149A14" w14:textId="13ABD125" w:rsidR="00AB2E4C" w:rsidRDefault="00AB2E4C" w:rsidP="00AB2E4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183276C" w14:textId="0D922DF4" w:rsidR="00A6751F" w:rsidRPr="00A46E02" w:rsidRDefault="00A6751F" w:rsidP="00AB2E4C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4D055A02" w14:textId="296AB34C" w:rsidR="00892ABA" w:rsidRDefault="00AB2E4C" w:rsidP="00655A8A">
      <w:pPr>
        <w:spacing w:after="0" w:line="240" w:lineRule="auto"/>
        <w:ind w:left="1985" w:hanging="1985"/>
        <w:jc w:val="both"/>
        <w:rPr>
          <w:rFonts w:ascii="Arial" w:hAnsi="Arial" w:cs="Arial"/>
          <w:sz w:val="23"/>
          <w:szCs w:val="23"/>
        </w:rPr>
      </w:pPr>
      <w:r w:rsidRPr="00756B22">
        <w:rPr>
          <w:rFonts w:ascii="Arial" w:hAnsi="Arial" w:cs="Arial"/>
          <w:b/>
          <w:bCs/>
          <w:sz w:val="23"/>
          <w:szCs w:val="23"/>
        </w:rPr>
        <w:t>Objetivo general</w:t>
      </w:r>
      <w:r w:rsidR="00F36E02" w:rsidRPr="00756B22">
        <w:rPr>
          <w:rFonts w:ascii="Arial" w:hAnsi="Arial" w:cs="Arial"/>
          <w:b/>
          <w:bCs/>
          <w:sz w:val="23"/>
          <w:szCs w:val="23"/>
        </w:rPr>
        <w:t>.</w:t>
      </w:r>
      <w:r w:rsidRPr="00AB2E4C">
        <w:rPr>
          <w:rFonts w:ascii="Arial" w:hAnsi="Arial" w:cs="Arial"/>
          <w:sz w:val="23"/>
          <w:szCs w:val="23"/>
        </w:rPr>
        <w:t xml:space="preserve"> </w:t>
      </w:r>
      <w:r w:rsidR="00655A8A">
        <w:rPr>
          <w:rFonts w:ascii="Arial" w:hAnsi="Arial" w:cs="Arial"/>
          <w:sz w:val="23"/>
          <w:szCs w:val="23"/>
        </w:rPr>
        <w:t xml:space="preserve"> </w:t>
      </w:r>
      <w:r w:rsidR="00892ABA">
        <w:rPr>
          <w:rFonts w:ascii="Arial" w:hAnsi="Arial" w:cs="Arial"/>
          <w:sz w:val="23"/>
          <w:szCs w:val="23"/>
        </w:rPr>
        <w:t xml:space="preserve">Fortalecer las capacidades técnicas </w:t>
      </w:r>
      <w:r w:rsidR="00655A8A">
        <w:rPr>
          <w:rFonts w:ascii="Arial" w:hAnsi="Arial" w:cs="Arial"/>
          <w:sz w:val="23"/>
          <w:szCs w:val="23"/>
        </w:rPr>
        <w:t xml:space="preserve">y negociadoras </w:t>
      </w:r>
      <w:r w:rsidR="00892ABA">
        <w:rPr>
          <w:rFonts w:ascii="Arial" w:hAnsi="Arial" w:cs="Arial"/>
          <w:sz w:val="23"/>
          <w:szCs w:val="23"/>
        </w:rPr>
        <w:t xml:space="preserve">del </w:t>
      </w:r>
      <w:r w:rsidR="00655A8A">
        <w:rPr>
          <w:rFonts w:ascii="Arial" w:hAnsi="Arial" w:cs="Arial"/>
          <w:sz w:val="23"/>
          <w:szCs w:val="23"/>
        </w:rPr>
        <w:t xml:space="preserve">MPCEIP </w:t>
      </w:r>
      <w:r w:rsidR="00892ABA">
        <w:rPr>
          <w:rFonts w:ascii="Arial" w:hAnsi="Arial" w:cs="Arial"/>
          <w:sz w:val="23"/>
          <w:szCs w:val="23"/>
        </w:rPr>
        <w:t xml:space="preserve">en materia de comercio y </w:t>
      </w:r>
      <w:r w:rsidR="00D267B8">
        <w:rPr>
          <w:rFonts w:ascii="Arial" w:hAnsi="Arial" w:cs="Arial"/>
          <w:sz w:val="23"/>
          <w:szCs w:val="23"/>
        </w:rPr>
        <w:t>género</w:t>
      </w:r>
      <w:r w:rsidR="00DD59FD">
        <w:rPr>
          <w:rFonts w:ascii="Arial" w:hAnsi="Arial" w:cs="Arial"/>
          <w:sz w:val="23"/>
          <w:szCs w:val="23"/>
        </w:rPr>
        <w:t>,</w:t>
      </w:r>
      <w:r w:rsidR="00892ABA">
        <w:rPr>
          <w:rFonts w:ascii="Arial" w:hAnsi="Arial" w:cs="Arial"/>
          <w:sz w:val="23"/>
          <w:szCs w:val="23"/>
        </w:rPr>
        <w:t xml:space="preserve"> </w:t>
      </w:r>
      <w:r w:rsidR="00655A8A">
        <w:rPr>
          <w:rFonts w:ascii="Arial" w:hAnsi="Arial" w:cs="Arial"/>
          <w:sz w:val="23"/>
          <w:szCs w:val="23"/>
        </w:rPr>
        <w:t xml:space="preserve">a través del </w:t>
      </w:r>
      <w:r w:rsidR="00892ABA">
        <w:rPr>
          <w:rFonts w:ascii="Arial" w:hAnsi="Arial" w:cs="Arial"/>
          <w:sz w:val="23"/>
          <w:szCs w:val="23"/>
        </w:rPr>
        <w:t xml:space="preserve">conocimiento y comprensión de: </w:t>
      </w:r>
    </w:p>
    <w:p w14:paraId="6E1F09FC" w14:textId="1D48BE4E" w:rsidR="00892ABA" w:rsidRDefault="00821805" w:rsidP="00DD59FD">
      <w:pPr>
        <w:pStyle w:val="Prrafodelista"/>
        <w:numPr>
          <w:ilvl w:val="0"/>
          <w:numId w:val="8"/>
        </w:numPr>
        <w:spacing w:after="0" w:line="240" w:lineRule="auto"/>
        <w:ind w:left="2410" w:hanging="283"/>
        <w:jc w:val="both"/>
        <w:rPr>
          <w:rFonts w:ascii="Arial" w:hAnsi="Arial" w:cs="Arial"/>
          <w:sz w:val="23"/>
          <w:szCs w:val="23"/>
        </w:rPr>
      </w:pPr>
      <w:r w:rsidRPr="00892ABA">
        <w:rPr>
          <w:rFonts w:ascii="Arial" w:hAnsi="Arial" w:cs="Arial"/>
          <w:sz w:val="23"/>
          <w:szCs w:val="23"/>
        </w:rPr>
        <w:t xml:space="preserve">las obligaciones y compromisos </w:t>
      </w:r>
      <w:r w:rsidR="00D267B8">
        <w:rPr>
          <w:rFonts w:ascii="Arial" w:hAnsi="Arial" w:cs="Arial"/>
          <w:sz w:val="23"/>
          <w:szCs w:val="23"/>
        </w:rPr>
        <w:t xml:space="preserve">en género </w:t>
      </w:r>
      <w:r w:rsidRPr="00892ABA">
        <w:rPr>
          <w:rFonts w:ascii="Arial" w:hAnsi="Arial" w:cs="Arial"/>
          <w:sz w:val="23"/>
          <w:szCs w:val="23"/>
        </w:rPr>
        <w:t xml:space="preserve">contraídos por las partes del T-MEC; </w:t>
      </w:r>
    </w:p>
    <w:p w14:paraId="6D94A64B" w14:textId="2A36D3A3" w:rsidR="00DD59FD" w:rsidRPr="00D3663E" w:rsidRDefault="00D040D6" w:rsidP="00D3663E">
      <w:pPr>
        <w:pStyle w:val="Prrafodelista"/>
        <w:numPr>
          <w:ilvl w:val="0"/>
          <w:numId w:val="8"/>
        </w:numPr>
        <w:spacing w:after="0" w:line="240" w:lineRule="auto"/>
        <w:ind w:left="2410" w:hanging="283"/>
        <w:jc w:val="both"/>
        <w:rPr>
          <w:rFonts w:ascii="Arial" w:hAnsi="Arial" w:cs="Arial"/>
          <w:sz w:val="23"/>
          <w:szCs w:val="23"/>
        </w:rPr>
      </w:pPr>
      <w:r w:rsidRPr="00892ABA">
        <w:rPr>
          <w:rFonts w:ascii="Arial" w:hAnsi="Arial" w:cs="Arial"/>
          <w:sz w:val="23"/>
          <w:szCs w:val="23"/>
        </w:rPr>
        <w:t xml:space="preserve">las prioridades de las partes durante la </w:t>
      </w:r>
      <w:r w:rsidR="00821805" w:rsidRPr="00892ABA">
        <w:rPr>
          <w:rFonts w:ascii="Arial" w:hAnsi="Arial" w:cs="Arial"/>
          <w:sz w:val="23"/>
          <w:szCs w:val="23"/>
        </w:rPr>
        <w:t>negociación</w:t>
      </w:r>
      <w:r w:rsidR="00655A8A">
        <w:rPr>
          <w:rFonts w:ascii="Arial" w:hAnsi="Arial" w:cs="Arial"/>
          <w:sz w:val="23"/>
          <w:szCs w:val="23"/>
        </w:rPr>
        <w:t xml:space="preserve"> del T-MEC</w:t>
      </w:r>
      <w:r w:rsidR="00821805" w:rsidRPr="00892ABA">
        <w:rPr>
          <w:rFonts w:ascii="Arial" w:hAnsi="Arial" w:cs="Arial"/>
          <w:sz w:val="23"/>
          <w:szCs w:val="23"/>
        </w:rPr>
        <w:t xml:space="preserve">; </w:t>
      </w:r>
    </w:p>
    <w:p w14:paraId="3A4EBBD0" w14:textId="40B0D67E" w:rsidR="00892ABA" w:rsidRPr="00DD59FD" w:rsidRDefault="006D6233" w:rsidP="00DD59FD">
      <w:pPr>
        <w:pStyle w:val="Prrafodelista"/>
        <w:numPr>
          <w:ilvl w:val="0"/>
          <w:numId w:val="8"/>
        </w:numPr>
        <w:spacing w:after="0" w:line="240" w:lineRule="auto"/>
        <w:ind w:left="2410" w:hanging="283"/>
        <w:jc w:val="both"/>
        <w:rPr>
          <w:rFonts w:ascii="Arial" w:hAnsi="Arial" w:cs="Arial"/>
          <w:sz w:val="23"/>
          <w:szCs w:val="23"/>
        </w:rPr>
      </w:pPr>
      <w:r w:rsidRPr="00892ABA">
        <w:rPr>
          <w:rFonts w:ascii="Arial" w:hAnsi="Arial" w:cs="Arial"/>
          <w:sz w:val="23"/>
          <w:szCs w:val="23"/>
        </w:rPr>
        <w:t>l</w:t>
      </w:r>
      <w:r w:rsidR="00DD59FD">
        <w:rPr>
          <w:rFonts w:ascii="Arial" w:hAnsi="Arial" w:cs="Arial"/>
          <w:sz w:val="23"/>
          <w:szCs w:val="23"/>
        </w:rPr>
        <w:t xml:space="preserve">as disposiciones </w:t>
      </w:r>
      <w:r w:rsidR="00D267B8">
        <w:rPr>
          <w:rFonts w:ascii="Arial" w:hAnsi="Arial" w:cs="Arial"/>
          <w:sz w:val="23"/>
          <w:szCs w:val="23"/>
        </w:rPr>
        <w:t>de género</w:t>
      </w:r>
      <w:r w:rsidR="00DD59FD">
        <w:rPr>
          <w:rFonts w:ascii="Arial" w:hAnsi="Arial" w:cs="Arial"/>
          <w:sz w:val="23"/>
          <w:szCs w:val="23"/>
        </w:rPr>
        <w:t xml:space="preserve"> previstas en acuerdos </w:t>
      </w:r>
      <w:r w:rsidR="00D267B8">
        <w:rPr>
          <w:rFonts w:ascii="Arial" w:hAnsi="Arial" w:cs="Arial"/>
          <w:sz w:val="23"/>
          <w:szCs w:val="23"/>
        </w:rPr>
        <w:t>internacionales</w:t>
      </w:r>
    </w:p>
    <w:p w14:paraId="7D4191C1" w14:textId="26E7DD6E" w:rsidR="00DD59FD" w:rsidRPr="00DD59FD" w:rsidRDefault="00892ABA" w:rsidP="00DD59FD">
      <w:pPr>
        <w:pStyle w:val="Prrafodelista"/>
        <w:numPr>
          <w:ilvl w:val="0"/>
          <w:numId w:val="8"/>
        </w:numPr>
        <w:spacing w:after="0" w:line="240" w:lineRule="auto"/>
        <w:ind w:left="2410" w:hanging="28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</w:t>
      </w:r>
      <w:r w:rsidR="00821805" w:rsidRPr="00892ABA">
        <w:rPr>
          <w:rFonts w:ascii="Arial" w:hAnsi="Arial" w:cs="Arial"/>
          <w:sz w:val="23"/>
          <w:szCs w:val="23"/>
        </w:rPr>
        <w:t>as recomendaciones para la</w:t>
      </w:r>
      <w:r w:rsidR="00D3663E">
        <w:rPr>
          <w:rFonts w:ascii="Arial" w:hAnsi="Arial" w:cs="Arial"/>
          <w:sz w:val="23"/>
          <w:szCs w:val="23"/>
        </w:rPr>
        <w:t>s</w:t>
      </w:r>
      <w:r w:rsidR="00821805" w:rsidRPr="00892ABA">
        <w:rPr>
          <w:rFonts w:ascii="Arial" w:hAnsi="Arial" w:cs="Arial"/>
          <w:sz w:val="23"/>
          <w:szCs w:val="23"/>
        </w:rPr>
        <w:t xml:space="preserve"> negociaci</w:t>
      </w:r>
      <w:r w:rsidR="00D3663E">
        <w:rPr>
          <w:rFonts w:ascii="Arial" w:hAnsi="Arial" w:cs="Arial"/>
          <w:sz w:val="23"/>
          <w:szCs w:val="23"/>
        </w:rPr>
        <w:t>o</w:t>
      </w:r>
      <w:r w:rsidR="002D5407">
        <w:rPr>
          <w:rFonts w:ascii="Arial" w:hAnsi="Arial" w:cs="Arial"/>
          <w:sz w:val="23"/>
          <w:szCs w:val="23"/>
        </w:rPr>
        <w:t>n</w:t>
      </w:r>
      <w:r w:rsidR="00D3663E">
        <w:rPr>
          <w:rFonts w:ascii="Arial" w:hAnsi="Arial" w:cs="Arial"/>
          <w:sz w:val="23"/>
          <w:szCs w:val="23"/>
        </w:rPr>
        <w:t>es</w:t>
      </w:r>
      <w:r w:rsidR="002D5407">
        <w:rPr>
          <w:rFonts w:ascii="Arial" w:hAnsi="Arial" w:cs="Arial"/>
          <w:sz w:val="23"/>
          <w:szCs w:val="23"/>
        </w:rPr>
        <w:t xml:space="preserve"> </w:t>
      </w:r>
      <w:r w:rsidR="00821805" w:rsidRPr="00892ABA">
        <w:rPr>
          <w:rFonts w:ascii="Arial" w:hAnsi="Arial" w:cs="Arial"/>
          <w:sz w:val="23"/>
          <w:szCs w:val="23"/>
        </w:rPr>
        <w:t>comercial</w:t>
      </w:r>
      <w:r w:rsidR="00D3663E">
        <w:rPr>
          <w:rFonts w:ascii="Arial" w:hAnsi="Arial" w:cs="Arial"/>
          <w:sz w:val="23"/>
          <w:szCs w:val="23"/>
        </w:rPr>
        <w:t>es</w:t>
      </w:r>
      <w:r w:rsidR="00821805" w:rsidRPr="00892ABA">
        <w:rPr>
          <w:rFonts w:ascii="Arial" w:hAnsi="Arial" w:cs="Arial"/>
          <w:sz w:val="23"/>
          <w:szCs w:val="23"/>
        </w:rPr>
        <w:t xml:space="preserve"> de esta disciplina.  </w:t>
      </w:r>
      <w:r w:rsidR="006D6233" w:rsidRPr="00892ABA">
        <w:rPr>
          <w:rFonts w:ascii="Arial" w:hAnsi="Arial" w:cs="Arial"/>
          <w:sz w:val="23"/>
          <w:szCs w:val="23"/>
        </w:rPr>
        <w:t xml:space="preserve"> </w:t>
      </w:r>
    </w:p>
    <w:p w14:paraId="3D7278E4" w14:textId="77777777" w:rsidR="00F36E02" w:rsidRPr="00AB2E4C" w:rsidRDefault="00F36E02" w:rsidP="00F36E02">
      <w:pPr>
        <w:spacing w:after="0" w:line="240" w:lineRule="auto"/>
        <w:ind w:left="1985"/>
        <w:jc w:val="both"/>
        <w:rPr>
          <w:rFonts w:ascii="Arial" w:hAnsi="Arial" w:cs="Arial"/>
          <w:sz w:val="23"/>
          <w:szCs w:val="23"/>
        </w:rPr>
      </w:pPr>
    </w:p>
    <w:p w14:paraId="44667538" w14:textId="16C63990" w:rsidR="00AB2E4C" w:rsidRPr="00676A7E" w:rsidRDefault="00AB2E4C" w:rsidP="00AB2E4C">
      <w:pPr>
        <w:spacing w:after="0" w:line="240" w:lineRule="auto"/>
        <w:jc w:val="both"/>
        <w:rPr>
          <w:rFonts w:ascii="Arial" w:hAnsi="Arial" w:cs="Arial"/>
        </w:rPr>
      </w:pPr>
    </w:p>
    <w:p w14:paraId="1D965A86" w14:textId="5B216C6C" w:rsidR="00756B22" w:rsidRPr="00756B22" w:rsidRDefault="00756B22" w:rsidP="00AB2E4C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756B22">
        <w:rPr>
          <w:rFonts w:ascii="Arial" w:hAnsi="Arial" w:cs="Arial"/>
          <w:b/>
          <w:bCs/>
          <w:sz w:val="23"/>
          <w:szCs w:val="23"/>
        </w:rPr>
        <w:t>Tema</w:t>
      </w:r>
      <w:r w:rsidR="00254C9C">
        <w:rPr>
          <w:rFonts w:ascii="Arial" w:hAnsi="Arial" w:cs="Arial"/>
          <w:b/>
          <w:bCs/>
          <w:sz w:val="23"/>
          <w:szCs w:val="23"/>
        </w:rPr>
        <w:t>rio</w:t>
      </w:r>
      <w:r w:rsidR="00676A7E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739FA5D6" w14:textId="77777777" w:rsidR="00756B22" w:rsidRPr="00AB2E4C" w:rsidRDefault="00756B22" w:rsidP="00AB2E4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9ABC687" w14:textId="11929F85" w:rsidR="00AB2E4C" w:rsidRPr="00254C9C" w:rsidRDefault="00AB2E4C" w:rsidP="00AB2E4C">
      <w:pPr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254C9C">
        <w:rPr>
          <w:rFonts w:ascii="Arial" w:hAnsi="Arial" w:cs="Arial"/>
          <w:sz w:val="23"/>
          <w:szCs w:val="23"/>
          <w:u w:val="single"/>
        </w:rPr>
        <w:t>Módulo 1</w:t>
      </w:r>
    </w:p>
    <w:p w14:paraId="0B2F18D5" w14:textId="77777777" w:rsidR="00903ECD" w:rsidRPr="00903ECD" w:rsidRDefault="00903ECD" w:rsidP="00AB2E4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36166EFF" w14:textId="6A26FCB8" w:rsidR="001976AD" w:rsidRDefault="001976AD" w:rsidP="001976AD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Propuestas presentadas:</w:t>
      </w:r>
    </w:p>
    <w:p w14:paraId="74B9FF93" w14:textId="0454FE07" w:rsidR="001976AD" w:rsidRDefault="001976AD" w:rsidP="001976A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Propuesta de México</w:t>
      </w:r>
    </w:p>
    <w:p w14:paraId="4BA1F589" w14:textId="2E916ACC" w:rsidR="001976AD" w:rsidRDefault="001976AD" w:rsidP="001976AD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Coordinación institucional</w:t>
      </w:r>
    </w:p>
    <w:p w14:paraId="1BBAF2BF" w14:textId="21332836" w:rsidR="001976AD" w:rsidRDefault="001976AD" w:rsidP="001976AD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Cuarto de Junto</w:t>
      </w:r>
    </w:p>
    <w:p w14:paraId="624387BF" w14:textId="429A5890" w:rsidR="001976AD" w:rsidRDefault="001976AD" w:rsidP="001976A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Propuesta de </w:t>
      </w:r>
      <w:proofErr w:type="gramStart"/>
      <w:r>
        <w:rPr>
          <w:rFonts w:ascii="Arial" w:hAnsi="Arial" w:cs="Arial"/>
          <w:sz w:val="23"/>
          <w:szCs w:val="23"/>
        </w:rPr>
        <w:t>EEUU</w:t>
      </w:r>
      <w:proofErr w:type="gramEnd"/>
    </w:p>
    <w:p w14:paraId="364467F3" w14:textId="0E23527F" w:rsidR="001976AD" w:rsidRDefault="001976AD" w:rsidP="001976AD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Contexto político</w:t>
      </w:r>
    </w:p>
    <w:p w14:paraId="1514099D" w14:textId="57540929" w:rsidR="001976AD" w:rsidRDefault="001976AD" w:rsidP="001976A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Propuesta de </w:t>
      </w:r>
      <w:r w:rsidR="006F78F5">
        <w:rPr>
          <w:rFonts w:ascii="Arial" w:hAnsi="Arial" w:cs="Arial"/>
          <w:sz w:val="23"/>
          <w:szCs w:val="23"/>
        </w:rPr>
        <w:t>Canadá</w:t>
      </w:r>
    </w:p>
    <w:p w14:paraId="06091157" w14:textId="3FAF65DD" w:rsidR="001976AD" w:rsidRDefault="001976AD" w:rsidP="001976AD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Agenda progresista</w:t>
      </w:r>
    </w:p>
    <w:p w14:paraId="0227A048" w14:textId="3F54DF24" w:rsidR="001976AD" w:rsidRDefault="001976AD" w:rsidP="001976AD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Desarrollo de la negociación</w:t>
      </w:r>
    </w:p>
    <w:p w14:paraId="5788BAF1" w14:textId="727964A1" w:rsidR="001976AD" w:rsidRDefault="001976AD" w:rsidP="001976AD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Contenido del TMEC en materia de género</w:t>
      </w:r>
    </w:p>
    <w:p w14:paraId="32A5EE37" w14:textId="77777777" w:rsidR="001976AD" w:rsidRDefault="001976AD" w:rsidP="001976A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Capítulo 23: Comercio y Trabajo</w:t>
      </w:r>
    </w:p>
    <w:p w14:paraId="22B08E59" w14:textId="77777777" w:rsidR="001976AD" w:rsidRDefault="001976AD" w:rsidP="001976A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Capítulo 25: Pequeñas y Medianas Empresas </w:t>
      </w:r>
    </w:p>
    <w:p w14:paraId="6A51A20E" w14:textId="77777777" w:rsidR="001976AD" w:rsidRDefault="001976AD" w:rsidP="001976A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Capítulo 26: Competitividad</w:t>
      </w:r>
    </w:p>
    <w:p w14:paraId="46A037F7" w14:textId="029CE755" w:rsidR="001976AD" w:rsidRDefault="001976AD" w:rsidP="001976A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Otras disposiciones.</w:t>
      </w:r>
    </w:p>
    <w:p w14:paraId="4598421F" w14:textId="34852216" w:rsidR="001976AD" w:rsidRDefault="001976AD" w:rsidP="001976A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Análisis y conclusiones. ¿El TMEC es un Tratado con perspectiva de género? Lecciones aprendidas</w:t>
      </w:r>
    </w:p>
    <w:p w14:paraId="02F47521" w14:textId="7341CA30" w:rsidR="00D71693" w:rsidRDefault="00D71693" w:rsidP="00FE6DED">
      <w:pPr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3DF68CD2" w14:textId="36853805" w:rsidR="007A3B28" w:rsidRDefault="007A3B28" w:rsidP="00FE6DED">
      <w:pPr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52AC4B0D" w14:textId="77777777" w:rsidR="00D71693" w:rsidRDefault="00D71693" w:rsidP="00FE6DED">
      <w:pPr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</w:p>
    <w:p w14:paraId="3CBDEF49" w14:textId="5A3231C5" w:rsidR="00FE6DED" w:rsidRPr="00254C9C" w:rsidRDefault="00FE6DED" w:rsidP="00FE6DED">
      <w:pPr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254C9C">
        <w:rPr>
          <w:rFonts w:ascii="Arial" w:hAnsi="Arial" w:cs="Arial"/>
          <w:sz w:val="23"/>
          <w:szCs w:val="23"/>
          <w:u w:val="single"/>
        </w:rPr>
        <w:t>Módulo 2</w:t>
      </w:r>
    </w:p>
    <w:p w14:paraId="5F41224D" w14:textId="77777777" w:rsidR="00BB4435" w:rsidRPr="00BD5D20" w:rsidRDefault="00BB4435" w:rsidP="00FE6DE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2EF65DCA" w14:textId="77777777" w:rsidR="008D1156" w:rsidRDefault="008D1156" w:rsidP="00FE6DED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3"/>
          <w:szCs w:val="23"/>
        </w:rPr>
      </w:pPr>
    </w:p>
    <w:p w14:paraId="3300A474" w14:textId="56791E29" w:rsidR="00667F1A" w:rsidRDefault="0025217B" w:rsidP="00FE6DED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Discusión de género en otros </w:t>
      </w:r>
      <w:proofErr w:type="spellStart"/>
      <w:r>
        <w:rPr>
          <w:rFonts w:ascii="Arial" w:hAnsi="Arial" w:cs="Arial"/>
          <w:sz w:val="23"/>
          <w:szCs w:val="23"/>
        </w:rPr>
        <w:t>TLCs</w:t>
      </w:r>
      <w:proofErr w:type="spellEnd"/>
      <w:r>
        <w:rPr>
          <w:rFonts w:ascii="Arial" w:hAnsi="Arial" w:cs="Arial"/>
          <w:sz w:val="23"/>
          <w:szCs w:val="23"/>
        </w:rPr>
        <w:t xml:space="preserve"> y en foros internacionales</w:t>
      </w:r>
      <w:r w:rsidR="00FE6DED" w:rsidRPr="00FE6DED">
        <w:rPr>
          <w:rFonts w:ascii="Arial" w:hAnsi="Arial" w:cs="Arial"/>
          <w:sz w:val="23"/>
          <w:szCs w:val="23"/>
        </w:rPr>
        <w:t xml:space="preserve">. </w:t>
      </w:r>
    </w:p>
    <w:p w14:paraId="498693BF" w14:textId="74324599" w:rsidR="00972635" w:rsidRDefault="006737B3" w:rsidP="000E7BF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 perspectiva de género en los Tratados de Libre Comercio en el mundo. ¿Cómo los </w:t>
      </w:r>
      <w:proofErr w:type="spellStart"/>
      <w:r>
        <w:rPr>
          <w:rFonts w:ascii="Arial" w:hAnsi="Arial" w:cs="Arial"/>
          <w:sz w:val="23"/>
          <w:szCs w:val="23"/>
        </w:rPr>
        <w:t>TLCs</w:t>
      </w:r>
      <w:proofErr w:type="spellEnd"/>
      <w:r>
        <w:rPr>
          <w:rFonts w:ascii="Arial" w:hAnsi="Arial" w:cs="Arial"/>
          <w:sz w:val="23"/>
          <w:szCs w:val="23"/>
        </w:rPr>
        <w:t xml:space="preserve"> pueden promover la igualdad de género</w:t>
      </w:r>
      <w:r w:rsidR="001976AD">
        <w:rPr>
          <w:rFonts w:ascii="Arial" w:hAnsi="Arial" w:cs="Arial"/>
          <w:sz w:val="23"/>
          <w:szCs w:val="23"/>
        </w:rPr>
        <w:t>?</w:t>
      </w:r>
    </w:p>
    <w:p w14:paraId="642B421E" w14:textId="3DE17E92" w:rsidR="006737B3" w:rsidRDefault="006737B3" w:rsidP="000E7BF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Principales obstáculos para incluir disposiciones de género en los </w:t>
      </w:r>
      <w:proofErr w:type="spellStart"/>
      <w:r>
        <w:rPr>
          <w:rFonts w:ascii="Arial" w:hAnsi="Arial" w:cs="Arial"/>
          <w:sz w:val="23"/>
          <w:szCs w:val="23"/>
        </w:rPr>
        <w:t>TLCs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14:paraId="0EC17AD0" w14:textId="1D8B2A48" w:rsidR="006737B3" w:rsidRDefault="006737B3" w:rsidP="000E7BF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¿Cómo medir la inclusión de perspectiva de género?</w:t>
      </w:r>
    </w:p>
    <w:p w14:paraId="7EE1DD26" w14:textId="07B43B44" w:rsidR="006737B3" w:rsidRDefault="006737B3" w:rsidP="000E7BF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Evaluación de inclusión y perspectiva de género en los Tratados del Libre Comercio. </w:t>
      </w:r>
    </w:p>
    <w:p w14:paraId="753C38FB" w14:textId="77777777" w:rsidR="006737B3" w:rsidRPr="000E7BF4" w:rsidRDefault="006737B3" w:rsidP="006737B3">
      <w:pPr>
        <w:pStyle w:val="Prrafodelista"/>
        <w:spacing w:after="0" w:line="240" w:lineRule="auto"/>
        <w:ind w:left="786"/>
        <w:jc w:val="both"/>
        <w:rPr>
          <w:rFonts w:ascii="Arial" w:hAnsi="Arial" w:cs="Arial"/>
          <w:sz w:val="23"/>
          <w:szCs w:val="23"/>
        </w:rPr>
      </w:pPr>
    </w:p>
    <w:p w14:paraId="05B98126" w14:textId="77777777" w:rsidR="008D1156" w:rsidRDefault="008D1156" w:rsidP="00972635">
      <w:pPr>
        <w:pStyle w:val="Prrafodelista"/>
        <w:spacing w:after="0" w:line="240" w:lineRule="auto"/>
        <w:ind w:left="786"/>
        <w:jc w:val="both"/>
        <w:rPr>
          <w:rFonts w:ascii="Arial" w:hAnsi="Arial" w:cs="Arial"/>
          <w:sz w:val="23"/>
          <w:szCs w:val="23"/>
        </w:rPr>
      </w:pPr>
    </w:p>
    <w:p w14:paraId="76DF7AF2" w14:textId="0CEC819A" w:rsidR="00FE6DED" w:rsidRDefault="0025217B" w:rsidP="00FE6DED">
      <w:pPr>
        <w:pStyle w:val="Prrafodelista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Recomendaciones para las negociaciones</w:t>
      </w:r>
    </w:p>
    <w:p w14:paraId="28ECF2AF" w14:textId="766FA872" w:rsidR="000E7BF4" w:rsidRDefault="000E7BF4" w:rsidP="00FE6DED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="006737B3">
        <w:rPr>
          <w:rFonts w:ascii="Arial" w:hAnsi="Arial" w:cs="Arial"/>
          <w:sz w:val="23"/>
          <w:szCs w:val="23"/>
        </w:rPr>
        <w:t>Antecedentes para los responsables de la formulación de políticas.</w:t>
      </w:r>
    </w:p>
    <w:p w14:paraId="349E07F7" w14:textId="0D30FB9B" w:rsidR="006737B3" w:rsidRDefault="006737B3" w:rsidP="00FE6DED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-Recomendaciones y ejemplos específicos de redacción de textos.</w:t>
      </w:r>
    </w:p>
    <w:p w14:paraId="2241C5BC" w14:textId="2BA78769" w:rsidR="00DC3246" w:rsidRDefault="00DC3246" w:rsidP="00DC324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502990A" w14:textId="77777777" w:rsidR="00A638AE" w:rsidRDefault="00A638AE" w:rsidP="00DC324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77177726" w14:textId="77777777" w:rsidR="00E94FB7" w:rsidRPr="00756B22" w:rsidRDefault="00E94FB7" w:rsidP="00E94FB7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756B22">
        <w:rPr>
          <w:rFonts w:ascii="Arial" w:hAnsi="Arial" w:cs="Arial"/>
          <w:b/>
          <w:bCs/>
          <w:sz w:val="23"/>
          <w:szCs w:val="23"/>
        </w:rPr>
        <w:t>Metodología</w:t>
      </w:r>
      <w:r>
        <w:rPr>
          <w:rFonts w:ascii="Arial" w:hAnsi="Arial" w:cs="Arial"/>
          <w:b/>
          <w:bCs/>
          <w:sz w:val="23"/>
          <w:szCs w:val="23"/>
        </w:rPr>
        <w:t xml:space="preserve"> y cronograma</w:t>
      </w:r>
    </w:p>
    <w:p w14:paraId="5A42EECE" w14:textId="77777777" w:rsidR="00E94FB7" w:rsidRDefault="00E94FB7" w:rsidP="00E94FB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4D0345E" w14:textId="57F7A44D" w:rsidR="00E94FB7" w:rsidRDefault="00E94FB7" w:rsidP="00E94FB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Los módulos se impartirán vía remota en </w:t>
      </w:r>
      <w:r w:rsidR="000E7BF4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 xml:space="preserve"> sesiones de 2 horas cada una, para un total de </w:t>
      </w:r>
      <w:r w:rsidR="006F78F5">
        <w:rPr>
          <w:rFonts w:ascii="Arial" w:hAnsi="Arial" w:cs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 xml:space="preserve"> horas, que se impartirán de la siguiente manera: </w:t>
      </w:r>
    </w:p>
    <w:p w14:paraId="5275EAB1" w14:textId="77777777" w:rsidR="00E94FB7" w:rsidRDefault="00E94FB7" w:rsidP="00E94FB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10B95B66" w14:textId="77777777" w:rsidR="00E94FB7" w:rsidRPr="00A40F69" w:rsidRDefault="00E94FB7" w:rsidP="00E94FB7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603"/>
      </w:tblGrid>
      <w:tr w:rsidR="00E94FB7" w14:paraId="548CC1FF" w14:textId="77777777" w:rsidTr="000A5E3D">
        <w:tc>
          <w:tcPr>
            <w:tcW w:w="1696" w:type="dxa"/>
          </w:tcPr>
          <w:p w14:paraId="31F41C64" w14:textId="77777777" w:rsidR="00E94FB7" w:rsidRPr="001B433B" w:rsidRDefault="00E94FB7" w:rsidP="000A5E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CF1F4FA" w14:textId="77777777" w:rsidR="00E94FB7" w:rsidRPr="00756B22" w:rsidRDefault="00E94FB7" w:rsidP="000A5E3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56B22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Fecha </w:t>
            </w:r>
          </w:p>
        </w:tc>
        <w:tc>
          <w:tcPr>
            <w:tcW w:w="5529" w:type="dxa"/>
          </w:tcPr>
          <w:p w14:paraId="6950140D" w14:textId="77777777" w:rsidR="00E94FB7" w:rsidRPr="001B433B" w:rsidRDefault="00E94FB7" w:rsidP="000A5E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01E3307" w14:textId="77777777" w:rsidR="00E94FB7" w:rsidRPr="00756B22" w:rsidRDefault="00E94FB7" w:rsidP="000A5E3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56B22">
              <w:rPr>
                <w:rFonts w:ascii="Arial" w:hAnsi="Arial" w:cs="Arial"/>
                <w:b/>
                <w:bCs/>
                <w:sz w:val="23"/>
                <w:szCs w:val="23"/>
              </w:rPr>
              <w:t>Módulo</w:t>
            </w:r>
          </w:p>
        </w:tc>
        <w:tc>
          <w:tcPr>
            <w:tcW w:w="1603" w:type="dxa"/>
          </w:tcPr>
          <w:p w14:paraId="61987A7E" w14:textId="77777777" w:rsidR="00E94FB7" w:rsidRPr="001B433B" w:rsidRDefault="00E94FB7" w:rsidP="000A5E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1A023A4" w14:textId="77777777" w:rsidR="00E94FB7" w:rsidRDefault="00E94FB7" w:rsidP="000A5E3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Horario*</w:t>
            </w:r>
          </w:p>
          <w:p w14:paraId="67842BAF" w14:textId="77777777" w:rsidR="00E94FB7" w:rsidRPr="001B433B" w:rsidRDefault="00E94FB7" w:rsidP="000A5E3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94FB7" w14:paraId="7967FEE7" w14:textId="77777777" w:rsidTr="000A5E3D">
        <w:tc>
          <w:tcPr>
            <w:tcW w:w="1696" w:type="dxa"/>
          </w:tcPr>
          <w:p w14:paraId="36FB4348" w14:textId="77777777" w:rsidR="00E94FB7" w:rsidRDefault="00E94FB7" w:rsidP="000A5E3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050ED5B" w14:textId="2931C107" w:rsidR="00E94FB7" w:rsidRDefault="0025217B" w:rsidP="000A5E3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18</w:t>
            </w:r>
            <w:r w:rsidR="00E94FB7">
              <w:rPr>
                <w:rFonts w:ascii="Arial" w:hAnsi="Arial" w:cs="Arial"/>
                <w:sz w:val="23"/>
                <w:szCs w:val="23"/>
              </w:rPr>
              <w:t xml:space="preserve"> de octubre</w:t>
            </w:r>
          </w:p>
          <w:p w14:paraId="1BAEB1D9" w14:textId="77777777" w:rsidR="00E94FB7" w:rsidRDefault="00E94FB7" w:rsidP="000A5E3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29" w:type="dxa"/>
          </w:tcPr>
          <w:p w14:paraId="17E999FE" w14:textId="77777777" w:rsidR="00E94FB7" w:rsidRDefault="00E94FB7" w:rsidP="000A5E3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7C555AD" w14:textId="77777777" w:rsidR="00E94FB7" w:rsidRDefault="00E94FB7" w:rsidP="000A5E3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603" w:type="dxa"/>
          </w:tcPr>
          <w:p w14:paraId="6874B4B9" w14:textId="77777777" w:rsidR="00E94FB7" w:rsidRDefault="00E94FB7" w:rsidP="000A5E3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046062E" w14:textId="0D92698D" w:rsidR="00E94FB7" w:rsidRDefault="00E94FB7" w:rsidP="000A5E3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  <w:r w:rsidR="0025217B">
              <w:rPr>
                <w:rFonts w:ascii="Arial" w:hAnsi="Arial" w:cs="Arial"/>
                <w:sz w:val="23"/>
                <w:szCs w:val="23"/>
              </w:rPr>
              <w:t>7</w:t>
            </w:r>
            <w:r>
              <w:rPr>
                <w:rFonts w:ascii="Arial" w:hAnsi="Arial" w:cs="Arial"/>
                <w:sz w:val="23"/>
                <w:szCs w:val="23"/>
              </w:rPr>
              <w:t>:00 – 09:00</w:t>
            </w:r>
          </w:p>
        </w:tc>
      </w:tr>
      <w:tr w:rsidR="00E94FB7" w14:paraId="14020D99" w14:textId="77777777" w:rsidTr="000A5E3D">
        <w:tc>
          <w:tcPr>
            <w:tcW w:w="1696" w:type="dxa"/>
          </w:tcPr>
          <w:p w14:paraId="25AAEF36" w14:textId="77777777" w:rsidR="00E94FB7" w:rsidRDefault="00E94FB7" w:rsidP="000A5E3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9A7B7DF" w14:textId="67506202" w:rsidR="00E94FB7" w:rsidRDefault="0025217B" w:rsidP="000A5E3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19</w:t>
            </w:r>
            <w:r w:rsidR="00E94FB7">
              <w:rPr>
                <w:rFonts w:ascii="Arial" w:hAnsi="Arial" w:cs="Arial"/>
                <w:sz w:val="23"/>
                <w:szCs w:val="23"/>
              </w:rPr>
              <w:t xml:space="preserve"> de octubre</w:t>
            </w:r>
          </w:p>
          <w:p w14:paraId="2245A3E8" w14:textId="77777777" w:rsidR="00E94FB7" w:rsidRDefault="00E94FB7" w:rsidP="000A5E3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29" w:type="dxa"/>
          </w:tcPr>
          <w:p w14:paraId="64ADB01B" w14:textId="77777777" w:rsidR="00E94FB7" w:rsidRDefault="00E94FB7" w:rsidP="000A5E3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7649D7D1" w14:textId="78AAD955" w:rsidR="00E94FB7" w:rsidRDefault="0025217B" w:rsidP="000A5E3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603" w:type="dxa"/>
          </w:tcPr>
          <w:p w14:paraId="09E96F3B" w14:textId="77777777" w:rsidR="00E94FB7" w:rsidRDefault="00E94FB7" w:rsidP="000A5E3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B5CD91D" w14:textId="77777777" w:rsidR="00E94FB7" w:rsidRDefault="00E94FB7" w:rsidP="000A5E3D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07:00 – 09:00</w:t>
            </w:r>
          </w:p>
        </w:tc>
      </w:tr>
    </w:tbl>
    <w:p w14:paraId="2BC85FF2" w14:textId="77777777" w:rsidR="00E94FB7" w:rsidRDefault="00E94FB7" w:rsidP="00E94FB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*Hora de Quito</w:t>
      </w:r>
    </w:p>
    <w:p w14:paraId="02995927" w14:textId="41158E3F" w:rsidR="00DC3246" w:rsidRDefault="00DC3246" w:rsidP="00DC324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72FEDDBA" w14:textId="368D166B" w:rsidR="00E94FB7" w:rsidRDefault="00E94FB7" w:rsidP="00DC324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DA1C56F" w14:textId="222026DE" w:rsidR="00E94FB7" w:rsidRDefault="00E94FB7" w:rsidP="00DC324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1F2C7B7F" w14:textId="78F1FACB" w:rsidR="00CA513D" w:rsidRPr="006E09FC" w:rsidRDefault="00CA513D" w:rsidP="00667F1A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59B4E703" w14:textId="77777777" w:rsidR="00A46E02" w:rsidRPr="001976AD" w:rsidRDefault="008B6A62" w:rsidP="008B6A62">
      <w:pPr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1976AD">
        <w:rPr>
          <w:rFonts w:ascii="Arial" w:hAnsi="Arial" w:cs="Arial"/>
          <w:sz w:val="23"/>
          <w:szCs w:val="23"/>
          <w:u w:val="single"/>
        </w:rPr>
        <w:t>Materiales de apoyo:</w:t>
      </w:r>
    </w:p>
    <w:p w14:paraId="1C2DE89E" w14:textId="6A466302" w:rsidR="008B6A62" w:rsidRPr="001976AD" w:rsidRDefault="008B6A62" w:rsidP="008B6A62">
      <w:pPr>
        <w:spacing w:after="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1976AD">
        <w:rPr>
          <w:rFonts w:ascii="Arial" w:hAnsi="Arial" w:cs="Arial"/>
          <w:sz w:val="23"/>
          <w:szCs w:val="23"/>
          <w:u w:val="single"/>
        </w:rPr>
        <w:t xml:space="preserve"> </w:t>
      </w:r>
    </w:p>
    <w:p w14:paraId="6537347B" w14:textId="35BF1202" w:rsidR="00550365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>Tratados de Libre Comercio a analizar:</w:t>
      </w:r>
    </w:p>
    <w:p w14:paraId="7E229B95" w14:textId="10B7A090" w:rsidR="00605871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  <w:highlight w:val="yellow"/>
        </w:rPr>
      </w:pPr>
    </w:p>
    <w:p w14:paraId="50D93D6D" w14:textId="77777777" w:rsidR="00605871" w:rsidRPr="001976AD" w:rsidRDefault="00605871" w:rsidP="001976A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>Acuerdo Global y Progresivo para la Asociación Transpacífica (CPTTP), 30 de diciembre de 2018</w:t>
      </w:r>
    </w:p>
    <w:p w14:paraId="49025158" w14:textId="77777777" w:rsidR="00605871" w:rsidRPr="001976AD" w:rsidRDefault="00605871" w:rsidP="001976A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 xml:space="preserve">Tratado entre México, Estados Unidos y Canadá (T-MEC), 1.º de julio de 2020 </w:t>
      </w:r>
    </w:p>
    <w:p w14:paraId="4AE2FA5C" w14:textId="6296E620" w:rsidR="00605871" w:rsidRPr="001976AD" w:rsidRDefault="00605871" w:rsidP="001976A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>Tratado de Libre Comercio entre Canadá y Chile (TLCCC), 5 de Julio de 1997</w:t>
      </w:r>
    </w:p>
    <w:p w14:paraId="72D661BC" w14:textId="77777777" w:rsidR="00605871" w:rsidRPr="001976AD" w:rsidRDefault="00605871" w:rsidP="001976A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 xml:space="preserve">Tratado de Libre Comercio entre Canadá y Jordania (CJFTA), 1.º de octubre de 2012 </w:t>
      </w:r>
    </w:p>
    <w:p w14:paraId="00B3538D" w14:textId="77777777" w:rsidR="00605871" w:rsidRPr="001976AD" w:rsidRDefault="00605871" w:rsidP="001976A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 xml:space="preserve">Tratado de Libre Comercio entre Canadá y Ucrania, 1.º de agosto de 2017 </w:t>
      </w:r>
    </w:p>
    <w:p w14:paraId="18AF2ABA" w14:textId="77777777" w:rsidR="00605871" w:rsidRPr="001976AD" w:rsidRDefault="00605871" w:rsidP="001976A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 xml:space="preserve">Acuerdo Económico y Comercial Global (CETA) entre la Unión Europea y Canadá, 21 de septiembre de 2017 </w:t>
      </w:r>
    </w:p>
    <w:p w14:paraId="609A0E9F" w14:textId="77777777" w:rsidR="00605871" w:rsidRPr="001976AD" w:rsidRDefault="00605871" w:rsidP="001976A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 xml:space="preserve">Tratado de Libre Comercio entre la Unión Europea y Camerún, 4 de agosto de 2014 </w:t>
      </w:r>
    </w:p>
    <w:p w14:paraId="4DB67518" w14:textId="77777777" w:rsidR="00605871" w:rsidRPr="001976AD" w:rsidRDefault="00605871" w:rsidP="001976A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>Tratado de Libre Comercio entre Canadá e Israel (CIFTA), 1.º de enero de 1997</w:t>
      </w:r>
    </w:p>
    <w:p w14:paraId="0BC745C2" w14:textId="77777777" w:rsidR="00605871" w:rsidRPr="001976AD" w:rsidRDefault="00605871" w:rsidP="001976A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 xml:space="preserve">Tratado de Libre Comercio entre la Unión Europea y Sudáfrica, 1.º de enero de 2001 </w:t>
      </w:r>
    </w:p>
    <w:p w14:paraId="6F976A7C" w14:textId="05107FAB" w:rsidR="00605871" w:rsidRPr="001976AD" w:rsidRDefault="00605871" w:rsidP="001976A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>Tratado de Libre Comercio entre Canadá y Perú, 1.º de agosto de 2009</w:t>
      </w:r>
    </w:p>
    <w:p w14:paraId="6BFA43D5" w14:textId="7360D8D2" w:rsidR="003F2B53" w:rsidRPr="00D3663E" w:rsidRDefault="003F2B53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  <w:highlight w:val="yellow"/>
        </w:rPr>
      </w:pPr>
    </w:p>
    <w:p w14:paraId="3373B9A6" w14:textId="77777777" w:rsidR="001976AD" w:rsidRDefault="001976AD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  <w:highlight w:val="yellow"/>
        </w:rPr>
      </w:pPr>
    </w:p>
    <w:p w14:paraId="6A30DA03" w14:textId="77777777" w:rsidR="001976AD" w:rsidRDefault="001976AD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  <w:highlight w:val="yellow"/>
        </w:rPr>
      </w:pPr>
    </w:p>
    <w:p w14:paraId="042F0D5F" w14:textId="77777777" w:rsidR="001976AD" w:rsidRDefault="001976AD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  <w:highlight w:val="yellow"/>
        </w:rPr>
      </w:pPr>
    </w:p>
    <w:p w14:paraId="0510C3A2" w14:textId="7481F61E" w:rsidR="00605871" w:rsidRPr="001976AD" w:rsidRDefault="001976AD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lastRenderedPageBreak/>
        <w:t xml:space="preserve">Bibliografía </w:t>
      </w:r>
    </w:p>
    <w:p w14:paraId="4DB2BEF1" w14:textId="77777777" w:rsidR="00605871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  <w:highlight w:val="yellow"/>
        </w:rPr>
      </w:pPr>
    </w:p>
    <w:p w14:paraId="20050DA1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spellStart"/>
      <w:r w:rsidRPr="001976AD">
        <w:rPr>
          <w:rFonts w:ascii="Arial" w:hAnsi="Arial" w:cs="Arial"/>
          <w:sz w:val="23"/>
          <w:szCs w:val="23"/>
        </w:rPr>
        <w:t>Alesina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, Alberto y Rodrik, Dani (1994). Distributive </w:t>
      </w:r>
      <w:proofErr w:type="spellStart"/>
      <w:r w:rsidRPr="001976AD">
        <w:rPr>
          <w:rFonts w:ascii="Arial" w:hAnsi="Arial" w:cs="Arial"/>
          <w:sz w:val="23"/>
          <w:szCs w:val="23"/>
        </w:rPr>
        <w:t>Politics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and </w:t>
      </w:r>
      <w:proofErr w:type="spellStart"/>
      <w:r w:rsidRPr="001976AD">
        <w:rPr>
          <w:rFonts w:ascii="Arial" w:hAnsi="Arial" w:cs="Arial"/>
          <w:sz w:val="23"/>
          <w:szCs w:val="23"/>
        </w:rPr>
        <w:t>Economic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Growth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[Política distributiva y crecimiento económico] 109(2). En </w:t>
      </w:r>
      <w:proofErr w:type="spellStart"/>
      <w:r w:rsidRPr="001976AD">
        <w:rPr>
          <w:rFonts w:ascii="Arial" w:hAnsi="Arial" w:cs="Arial"/>
          <w:sz w:val="23"/>
          <w:szCs w:val="23"/>
        </w:rPr>
        <w:t>The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Quarterly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Journal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of Economics 465. </w:t>
      </w:r>
    </w:p>
    <w:p w14:paraId="011B69E8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77B8202F" w14:textId="6E8CA7A0" w:rsidR="00605871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 xml:space="preserve">Bahri, Amrita (2019). Appellate Body Held Hostage: Is Judicial Activism at Fair Trial? [El Órgano de Apelación retenido como rehén: ¿Tiene el activismo judicial un juicio justo?]. 53(2). En </w:t>
      </w:r>
      <w:proofErr w:type="spellStart"/>
      <w:r w:rsidRPr="001976AD">
        <w:rPr>
          <w:rFonts w:ascii="Arial" w:hAnsi="Arial" w:cs="Arial"/>
          <w:sz w:val="23"/>
          <w:szCs w:val="23"/>
        </w:rPr>
        <w:t>Journal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of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World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Trade. </w:t>
      </w:r>
    </w:p>
    <w:p w14:paraId="250785B6" w14:textId="2CA14FD7" w:rsidR="001976AD" w:rsidRDefault="001976AD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380B1D6" w14:textId="368F5B59" w:rsidR="001976AD" w:rsidRPr="001976AD" w:rsidRDefault="001976AD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Bahri Amrita (2020). </w:t>
      </w:r>
      <w:r w:rsidRPr="001976AD">
        <w:rPr>
          <w:rFonts w:ascii="Arial" w:hAnsi="Arial" w:cs="Arial"/>
          <w:sz w:val="23"/>
          <w:szCs w:val="23"/>
        </w:rPr>
        <w:t>Mainstreaming Gender in Free Trade Agreements. [</w:t>
      </w:r>
      <w:r>
        <w:rPr>
          <w:rFonts w:ascii="Arial" w:hAnsi="Arial" w:cs="Arial"/>
          <w:sz w:val="23"/>
          <w:szCs w:val="23"/>
        </w:rPr>
        <w:t xml:space="preserve">La incorporación de la Perspectiva de Género en los Tratados de Libre Comercio]. </w:t>
      </w:r>
      <w:r w:rsidRPr="001976AD">
        <w:rPr>
          <w:rFonts w:ascii="Arial" w:hAnsi="Arial" w:cs="Arial"/>
          <w:sz w:val="23"/>
          <w:szCs w:val="23"/>
        </w:rPr>
        <w:t>Centro de Comercio Internacional (ITC)</w:t>
      </w:r>
      <w:r>
        <w:rPr>
          <w:rFonts w:ascii="Arial" w:hAnsi="Arial" w:cs="Arial"/>
          <w:sz w:val="23"/>
          <w:szCs w:val="23"/>
        </w:rPr>
        <w:t>.</w:t>
      </w:r>
    </w:p>
    <w:p w14:paraId="37F23E82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019A974A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spellStart"/>
      <w:r w:rsidRPr="001976AD">
        <w:rPr>
          <w:rFonts w:ascii="Arial" w:hAnsi="Arial" w:cs="Arial"/>
          <w:sz w:val="23"/>
          <w:szCs w:val="23"/>
        </w:rPr>
        <w:t>Bronckers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, Marco, y van </w:t>
      </w:r>
      <w:proofErr w:type="spellStart"/>
      <w:r w:rsidRPr="001976AD">
        <w:rPr>
          <w:rFonts w:ascii="Arial" w:hAnsi="Arial" w:cs="Arial"/>
          <w:sz w:val="23"/>
          <w:szCs w:val="23"/>
        </w:rPr>
        <w:t>der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Broek, Naboth. (2005). </w:t>
      </w:r>
      <w:proofErr w:type="spellStart"/>
      <w:r w:rsidRPr="001976AD">
        <w:rPr>
          <w:rFonts w:ascii="Arial" w:hAnsi="Arial" w:cs="Arial"/>
          <w:sz w:val="23"/>
          <w:szCs w:val="23"/>
        </w:rPr>
        <w:t>Financial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Compensation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in </w:t>
      </w:r>
      <w:proofErr w:type="spellStart"/>
      <w:r w:rsidRPr="001976AD">
        <w:rPr>
          <w:rFonts w:ascii="Arial" w:hAnsi="Arial" w:cs="Arial"/>
          <w:sz w:val="23"/>
          <w:szCs w:val="23"/>
        </w:rPr>
        <w:t>the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WTO: </w:t>
      </w:r>
      <w:proofErr w:type="spellStart"/>
      <w:r w:rsidRPr="001976AD">
        <w:rPr>
          <w:rFonts w:ascii="Arial" w:hAnsi="Arial" w:cs="Arial"/>
          <w:sz w:val="23"/>
          <w:szCs w:val="23"/>
        </w:rPr>
        <w:t>Improving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the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Remedies </w:t>
      </w:r>
      <w:proofErr w:type="spellStart"/>
      <w:r w:rsidRPr="001976AD">
        <w:rPr>
          <w:rFonts w:ascii="Arial" w:hAnsi="Arial" w:cs="Arial"/>
          <w:sz w:val="23"/>
          <w:szCs w:val="23"/>
        </w:rPr>
        <w:t>of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WTO Dispute </w:t>
      </w:r>
      <w:proofErr w:type="spellStart"/>
      <w:r w:rsidRPr="001976AD">
        <w:rPr>
          <w:rFonts w:ascii="Arial" w:hAnsi="Arial" w:cs="Arial"/>
          <w:sz w:val="23"/>
          <w:szCs w:val="23"/>
        </w:rPr>
        <w:t>Settlement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[Compensación financiera en la OMC: mejorar los recursos de la solución de controversias de la OMC] 8(1). En </w:t>
      </w:r>
      <w:proofErr w:type="spellStart"/>
      <w:r w:rsidRPr="001976AD">
        <w:rPr>
          <w:rFonts w:ascii="Arial" w:hAnsi="Arial" w:cs="Arial"/>
          <w:sz w:val="23"/>
          <w:szCs w:val="23"/>
        </w:rPr>
        <w:t>Journal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of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International </w:t>
      </w:r>
      <w:proofErr w:type="spellStart"/>
      <w:r w:rsidRPr="001976AD">
        <w:rPr>
          <w:rFonts w:ascii="Arial" w:hAnsi="Arial" w:cs="Arial"/>
          <w:sz w:val="23"/>
          <w:szCs w:val="23"/>
        </w:rPr>
        <w:t>Economic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Law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101,105. </w:t>
      </w:r>
    </w:p>
    <w:p w14:paraId="08C17EA6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33F44795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 xml:space="preserve">Centro de Comercio Internacional (2015). Abriendo Mercados para Mujeres Comerciantes. ITC, Ginebra. </w:t>
      </w:r>
    </w:p>
    <w:p w14:paraId="4C5C8E13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014BA15F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 xml:space="preserve">Centro de Comercio Internacional (2019). </w:t>
      </w:r>
      <w:proofErr w:type="spellStart"/>
      <w:r w:rsidRPr="001976AD">
        <w:rPr>
          <w:rFonts w:ascii="Arial" w:hAnsi="Arial" w:cs="Arial"/>
          <w:sz w:val="23"/>
          <w:szCs w:val="23"/>
        </w:rPr>
        <w:t>From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Europe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to </w:t>
      </w:r>
      <w:proofErr w:type="spellStart"/>
      <w:r w:rsidRPr="001976AD">
        <w:rPr>
          <w:rFonts w:ascii="Arial" w:hAnsi="Arial" w:cs="Arial"/>
          <w:sz w:val="23"/>
          <w:szCs w:val="23"/>
        </w:rPr>
        <w:t>the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World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: </w:t>
      </w:r>
      <w:proofErr w:type="spellStart"/>
      <w:r w:rsidRPr="001976AD">
        <w:rPr>
          <w:rFonts w:ascii="Arial" w:hAnsi="Arial" w:cs="Arial"/>
          <w:sz w:val="23"/>
          <w:szCs w:val="23"/>
        </w:rPr>
        <w:t>Understanding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Challenges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for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European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Businesswomen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[De Europa al mundo: comprender los desafíos que enfrentan las mujeres empresarias europeas]. ITC, Ginebra. </w:t>
      </w:r>
    </w:p>
    <w:p w14:paraId="6A5E127B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02F4A695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spellStart"/>
      <w:r w:rsidRPr="001976AD">
        <w:rPr>
          <w:rFonts w:ascii="Arial" w:hAnsi="Arial" w:cs="Arial"/>
          <w:sz w:val="23"/>
          <w:szCs w:val="23"/>
        </w:rPr>
        <w:t>Dilts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Marshall, Elizabeth (23 de enero de 2020). Goldman Sachs to </w:t>
      </w:r>
      <w:proofErr w:type="spellStart"/>
      <w:r w:rsidRPr="001976AD">
        <w:rPr>
          <w:rFonts w:ascii="Arial" w:hAnsi="Arial" w:cs="Arial"/>
          <w:sz w:val="23"/>
          <w:szCs w:val="23"/>
        </w:rPr>
        <w:t>companies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: </w:t>
      </w:r>
      <w:proofErr w:type="spellStart"/>
      <w:r w:rsidRPr="001976AD">
        <w:rPr>
          <w:rFonts w:ascii="Arial" w:hAnsi="Arial" w:cs="Arial"/>
          <w:sz w:val="23"/>
          <w:szCs w:val="23"/>
        </w:rPr>
        <w:t>Hire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at </w:t>
      </w:r>
      <w:proofErr w:type="spellStart"/>
      <w:r w:rsidRPr="001976AD">
        <w:rPr>
          <w:rFonts w:ascii="Arial" w:hAnsi="Arial" w:cs="Arial"/>
          <w:sz w:val="23"/>
          <w:szCs w:val="23"/>
        </w:rPr>
        <w:t>least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one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woman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director </w:t>
      </w:r>
      <w:proofErr w:type="spellStart"/>
      <w:r w:rsidRPr="001976AD">
        <w:rPr>
          <w:rFonts w:ascii="Arial" w:hAnsi="Arial" w:cs="Arial"/>
          <w:sz w:val="23"/>
          <w:szCs w:val="23"/>
        </w:rPr>
        <w:t>if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you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want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to </w:t>
      </w:r>
      <w:proofErr w:type="spellStart"/>
      <w:r w:rsidRPr="001976AD">
        <w:rPr>
          <w:rFonts w:ascii="Arial" w:hAnsi="Arial" w:cs="Arial"/>
          <w:sz w:val="23"/>
          <w:szCs w:val="23"/>
        </w:rPr>
        <w:t>go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public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[Goldman Sachs a las empresas: Contratar al menos una mujer directora si se desea cotizar en bolsa]. Reuters.</w:t>
      </w:r>
    </w:p>
    <w:p w14:paraId="763839B6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7D53C586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 xml:space="preserve">González, Arancha (10 de noviembre de 2017). La contratación pública, una herramienta para impulsar el empoderamiento económico de la mujer. [Discurso] Ofrecido por la </w:t>
      </w:r>
      <w:proofErr w:type="gramStart"/>
      <w:r w:rsidRPr="001976AD">
        <w:rPr>
          <w:rFonts w:ascii="Arial" w:hAnsi="Arial" w:cs="Arial"/>
          <w:sz w:val="23"/>
          <w:szCs w:val="23"/>
        </w:rPr>
        <w:t>Directora Ejecutiva</w:t>
      </w:r>
      <w:proofErr w:type="gramEnd"/>
      <w:r w:rsidRPr="001976AD">
        <w:rPr>
          <w:rFonts w:ascii="Arial" w:hAnsi="Arial" w:cs="Arial"/>
          <w:sz w:val="23"/>
          <w:szCs w:val="23"/>
        </w:rPr>
        <w:t xml:space="preserve"> del ITC en la </w:t>
      </w:r>
      <w:proofErr w:type="spellStart"/>
      <w:r w:rsidRPr="001976AD">
        <w:rPr>
          <w:rFonts w:ascii="Arial" w:hAnsi="Arial" w:cs="Arial"/>
          <w:sz w:val="23"/>
          <w:szCs w:val="23"/>
        </w:rPr>
        <w:t>Scuola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di </w:t>
      </w:r>
      <w:proofErr w:type="spellStart"/>
      <w:r w:rsidRPr="001976AD">
        <w:rPr>
          <w:rFonts w:ascii="Arial" w:hAnsi="Arial" w:cs="Arial"/>
          <w:sz w:val="23"/>
          <w:szCs w:val="23"/>
        </w:rPr>
        <w:t>Politiche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, Milán. https://www.intracen.org/noticias/La-contratacion-publica-una-herramienta-para-impulsarel-empoderamiento-economico-de-las-mujeres/. </w:t>
      </w:r>
    </w:p>
    <w:p w14:paraId="1681C1F5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C063EFF" w14:textId="77777777" w:rsidR="00605871" w:rsidRPr="001976AD" w:rsidRDefault="00605871" w:rsidP="001976AD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>Grupo Banco Mundial (2019). Mujer, Empresa y el Derecho 2019: Una Década de Reformas.</w:t>
      </w:r>
    </w:p>
    <w:p w14:paraId="208A6E8E" w14:textId="77777777" w:rsidR="00605871" w:rsidRPr="001976AD" w:rsidRDefault="00605871" w:rsidP="001976AD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1C12A850" w14:textId="234AB10F" w:rsidR="00605871" w:rsidRPr="001976AD" w:rsidRDefault="00605871" w:rsidP="001976AD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 xml:space="preserve">Hausmann, Ricardo, Tyson, Laura D. y </w:t>
      </w:r>
      <w:proofErr w:type="spellStart"/>
      <w:r w:rsidRPr="001976AD">
        <w:rPr>
          <w:rFonts w:ascii="Arial" w:hAnsi="Arial" w:cs="Arial"/>
          <w:sz w:val="23"/>
          <w:szCs w:val="23"/>
        </w:rPr>
        <w:t>Zahidi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1976AD">
        <w:rPr>
          <w:rFonts w:ascii="Arial" w:hAnsi="Arial" w:cs="Arial"/>
          <w:sz w:val="23"/>
          <w:szCs w:val="23"/>
        </w:rPr>
        <w:t>Saadia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(2010). </w:t>
      </w:r>
      <w:proofErr w:type="spellStart"/>
      <w:r w:rsidRPr="001976AD">
        <w:rPr>
          <w:rFonts w:ascii="Arial" w:hAnsi="Arial" w:cs="Arial"/>
          <w:sz w:val="23"/>
          <w:szCs w:val="23"/>
        </w:rPr>
        <w:t>The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Global </w:t>
      </w:r>
      <w:proofErr w:type="spellStart"/>
      <w:r w:rsidRPr="001976AD">
        <w:rPr>
          <w:rFonts w:ascii="Arial" w:hAnsi="Arial" w:cs="Arial"/>
          <w:sz w:val="23"/>
          <w:szCs w:val="23"/>
        </w:rPr>
        <w:t>Gender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Gap </w:t>
      </w:r>
      <w:proofErr w:type="spellStart"/>
      <w:r w:rsidRPr="001976AD">
        <w:rPr>
          <w:rFonts w:ascii="Arial" w:hAnsi="Arial" w:cs="Arial"/>
          <w:sz w:val="23"/>
          <w:szCs w:val="23"/>
        </w:rPr>
        <w:t>Report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[Informe global sobre la brecha de género]. World Economic Forum. www3.weforum.org/docs/WEF_GenderGap_ Report_2010.pdf </w:t>
      </w:r>
    </w:p>
    <w:p w14:paraId="496B0F53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11B0EF34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 xml:space="preserve">Hutchens, Anna (2010). Empowering Women through Fair Trade? </w:t>
      </w:r>
      <w:proofErr w:type="spellStart"/>
      <w:r w:rsidRPr="001976AD">
        <w:rPr>
          <w:rFonts w:ascii="Arial" w:hAnsi="Arial" w:cs="Arial"/>
          <w:sz w:val="23"/>
          <w:szCs w:val="23"/>
        </w:rPr>
        <w:t>Lessons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from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Asia [¿Empoderamiento de las mujeres mediante el comercio justo? Lecciones de Asia] 31(3). En </w:t>
      </w:r>
      <w:proofErr w:type="spellStart"/>
      <w:r w:rsidRPr="001976AD">
        <w:rPr>
          <w:rFonts w:ascii="Arial" w:hAnsi="Arial" w:cs="Arial"/>
          <w:sz w:val="23"/>
          <w:szCs w:val="23"/>
        </w:rPr>
        <w:t>Third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World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Quarterly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449. </w:t>
      </w:r>
    </w:p>
    <w:p w14:paraId="51D8D23C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3359867E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lastRenderedPageBreak/>
        <w:t xml:space="preserve">McKinsey Global </w:t>
      </w:r>
      <w:proofErr w:type="spellStart"/>
      <w:r w:rsidRPr="001976AD">
        <w:rPr>
          <w:rFonts w:ascii="Arial" w:hAnsi="Arial" w:cs="Arial"/>
          <w:sz w:val="23"/>
          <w:szCs w:val="23"/>
        </w:rPr>
        <w:t>Institute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(2015). </w:t>
      </w:r>
      <w:proofErr w:type="spellStart"/>
      <w:r w:rsidRPr="001976AD">
        <w:rPr>
          <w:rFonts w:ascii="Arial" w:hAnsi="Arial" w:cs="Arial"/>
          <w:sz w:val="23"/>
          <w:szCs w:val="23"/>
        </w:rPr>
        <w:t>The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power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of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parity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: </w:t>
      </w:r>
      <w:proofErr w:type="spellStart"/>
      <w:r w:rsidRPr="001976AD">
        <w:rPr>
          <w:rFonts w:ascii="Arial" w:hAnsi="Arial" w:cs="Arial"/>
          <w:sz w:val="23"/>
          <w:szCs w:val="23"/>
        </w:rPr>
        <w:t>How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advancing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women’s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equality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can </w:t>
      </w:r>
      <w:proofErr w:type="spellStart"/>
      <w:r w:rsidRPr="001976AD">
        <w:rPr>
          <w:rFonts w:ascii="Arial" w:hAnsi="Arial" w:cs="Arial"/>
          <w:sz w:val="23"/>
          <w:szCs w:val="23"/>
        </w:rPr>
        <w:t>add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$12 </w:t>
      </w:r>
      <w:proofErr w:type="spellStart"/>
      <w:r w:rsidRPr="001976AD">
        <w:rPr>
          <w:rFonts w:ascii="Arial" w:hAnsi="Arial" w:cs="Arial"/>
          <w:sz w:val="23"/>
          <w:szCs w:val="23"/>
        </w:rPr>
        <w:t>trillion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to global </w:t>
      </w:r>
      <w:proofErr w:type="spellStart"/>
      <w:r w:rsidRPr="001976AD">
        <w:rPr>
          <w:rFonts w:ascii="Arial" w:hAnsi="Arial" w:cs="Arial"/>
          <w:sz w:val="23"/>
          <w:szCs w:val="23"/>
        </w:rPr>
        <w:t>growth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[El poder de la paridad: cómo el avance de la igualdad de la mujer puede añadir 12 billones de dólares al crecimiento mundial]. </w:t>
      </w:r>
    </w:p>
    <w:p w14:paraId="0D7A8B29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00C55E95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 xml:space="preserve">Monteiro, José-Antonio (18 de diciembre de 2018). </w:t>
      </w:r>
      <w:proofErr w:type="spellStart"/>
      <w:r w:rsidRPr="001976AD">
        <w:rPr>
          <w:rFonts w:ascii="Arial" w:hAnsi="Arial" w:cs="Arial"/>
          <w:sz w:val="23"/>
          <w:szCs w:val="23"/>
        </w:rPr>
        <w:t>Gender-related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Provisions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in Regional Trade </w:t>
      </w:r>
      <w:proofErr w:type="spellStart"/>
      <w:r w:rsidRPr="001976AD">
        <w:rPr>
          <w:rFonts w:ascii="Arial" w:hAnsi="Arial" w:cs="Arial"/>
          <w:sz w:val="23"/>
          <w:szCs w:val="23"/>
        </w:rPr>
        <w:t>Agreements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[Disposiciones relativas al género en los acuerdos comerciales regionales]. OMC. División de Estadística e Investigación Económica. Documento de trabajo del personal de la OMC. ERSD-2018-15. OMC. Ginebra. </w:t>
      </w:r>
    </w:p>
    <w:p w14:paraId="1E4CD916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3FA8466E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 xml:space="preserve">ONU Mujeres (2011) </w:t>
      </w:r>
      <w:proofErr w:type="spellStart"/>
      <w:r w:rsidRPr="001976AD">
        <w:rPr>
          <w:rFonts w:ascii="Arial" w:hAnsi="Arial" w:cs="Arial"/>
          <w:sz w:val="23"/>
          <w:szCs w:val="23"/>
        </w:rPr>
        <w:t>Gender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976AD">
        <w:rPr>
          <w:rFonts w:ascii="Arial" w:hAnsi="Arial" w:cs="Arial"/>
          <w:sz w:val="23"/>
          <w:szCs w:val="23"/>
        </w:rPr>
        <w:t>Equality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&amp; Trade </w:t>
      </w:r>
      <w:proofErr w:type="spellStart"/>
      <w:r w:rsidRPr="001976AD">
        <w:rPr>
          <w:rFonts w:ascii="Arial" w:hAnsi="Arial" w:cs="Arial"/>
          <w:sz w:val="23"/>
          <w:szCs w:val="23"/>
        </w:rPr>
        <w:t>Policy</w:t>
      </w:r>
      <w:proofErr w:type="spellEnd"/>
      <w:r w:rsidRPr="001976AD">
        <w:rPr>
          <w:rFonts w:ascii="Arial" w:hAnsi="Arial" w:cs="Arial"/>
          <w:sz w:val="23"/>
          <w:szCs w:val="23"/>
        </w:rPr>
        <w:t xml:space="preserve"> [Igualdad de género y política comercial] (documento de trabajo). </w:t>
      </w:r>
    </w:p>
    <w:p w14:paraId="4162240E" w14:textId="77777777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7D2394DB" w14:textId="35A2CB68" w:rsidR="00605871" w:rsidRPr="001976AD" w:rsidRDefault="00605871" w:rsidP="0055036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976AD">
        <w:rPr>
          <w:rFonts w:ascii="Arial" w:hAnsi="Arial" w:cs="Arial"/>
          <w:sz w:val="23"/>
          <w:szCs w:val="23"/>
        </w:rPr>
        <w:t>Organización de las Naciones Unidas (10 de noviembre de 2006). Comunicado de Prensa (WOM/1586). https://www.un.org/press/en/2006/wom1586.doc.htm. (Consultado el 14 de agosto de 2019).</w:t>
      </w:r>
    </w:p>
    <w:sectPr w:rsidR="00605871" w:rsidRPr="001976AD" w:rsidSect="00657A7D">
      <w:footerReference w:type="default" r:id="rId7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E9F92" w14:textId="77777777" w:rsidR="00CA5524" w:rsidRDefault="00CA5524" w:rsidP="00A638AE">
      <w:pPr>
        <w:spacing w:after="0" w:line="240" w:lineRule="auto"/>
      </w:pPr>
      <w:r>
        <w:separator/>
      </w:r>
    </w:p>
  </w:endnote>
  <w:endnote w:type="continuationSeparator" w:id="0">
    <w:p w14:paraId="60ACC5DD" w14:textId="77777777" w:rsidR="00CA5524" w:rsidRDefault="00CA5524" w:rsidP="00A6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968775"/>
      <w:docPartObj>
        <w:docPartGallery w:val="Page Numbers (Bottom of Page)"/>
        <w:docPartUnique/>
      </w:docPartObj>
    </w:sdtPr>
    <w:sdtEndPr/>
    <w:sdtContent>
      <w:p w14:paraId="43BD5271" w14:textId="05D70FDF" w:rsidR="00A638AE" w:rsidRDefault="00A638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F0007D5" w14:textId="77777777" w:rsidR="00A638AE" w:rsidRDefault="00A638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BC85" w14:textId="77777777" w:rsidR="00CA5524" w:rsidRDefault="00CA5524" w:rsidP="00A638AE">
      <w:pPr>
        <w:spacing w:after="0" w:line="240" w:lineRule="auto"/>
      </w:pPr>
      <w:r>
        <w:separator/>
      </w:r>
    </w:p>
  </w:footnote>
  <w:footnote w:type="continuationSeparator" w:id="0">
    <w:p w14:paraId="79E83D96" w14:textId="77777777" w:rsidR="00CA5524" w:rsidRDefault="00CA5524" w:rsidP="00A63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B48"/>
    <w:multiLevelType w:val="hybridMultilevel"/>
    <w:tmpl w:val="9D02E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A238D"/>
    <w:multiLevelType w:val="hybridMultilevel"/>
    <w:tmpl w:val="12EAF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833AE"/>
    <w:multiLevelType w:val="hybridMultilevel"/>
    <w:tmpl w:val="120E1E72"/>
    <w:lvl w:ilvl="0" w:tplc="49164B9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13D10EB"/>
    <w:multiLevelType w:val="hybridMultilevel"/>
    <w:tmpl w:val="64BCFF86"/>
    <w:lvl w:ilvl="0" w:tplc="6922B1F4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17F105C"/>
    <w:multiLevelType w:val="hybridMultilevel"/>
    <w:tmpl w:val="7FB022AC"/>
    <w:lvl w:ilvl="0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67D94A9D"/>
    <w:multiLevelType w:val="hybridMultilevel"/>
    <w:tmpl w:val="578C32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F5594"/>
    <w:multiLevelType w:val="hybridMultilevel"/>
    <w:tmpl w:val="88F4A3CA"/>
    <w:lvl w:ilvl="0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7DF210F7"/>
    <w:multiLevelType w:val="hybridMultilevel"/>
    <w:tmpl w:val="FE3E1736"/>
    <w:lvl w:ilvl="0" w:tplc="ECF06F0E">
      <w:start w:val="13"/>
      <w:numFmt w:val="bullet"/>
      <w:lvlText w:val="-"/>
      <w:lvlJc w:val="left"/>
      <w:pPr>
        <w:ind w:left="2203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4C"/>
    <w:rsid w:val="00022393"/>
    <w:rsid w:val="000263B9"/>
    <w:rsid w:val="00050D66"/>
    <w:rsid w:val="00073EA2"/>
    <w:rsid w:val="000B77A2"/>
    <w:rsid w:val="000B7826"/>
    <w:rsid w:val="000E7BF4"/>
    <w:rsid w:val="00181730"/>
    <w:rsid w:val="00183242"/>
    <w:rsid w:val="001976AD"/>
    <w:rsid w:val="001B433B"/>
    <w:rsid w:val="001D1540"/>
    <w:rsid w:val="001E2CEA"/>
    <w:rsid w:val="00214CDD"/>
    <w:rsid w:val="002357C7"/>
    <w:rsid w:val="002359DD"/>
    <w:rsid w:val="0025217B"/>
    <w:rsid w:val="00254C9C"/>
    <w:rsid w:val="0027525D"/>
    <w:rsid w:val="002960E2"/>
    <w:rsid w:val="002C3119"/>
    <w:rsid w:val="002C45BF"/>
    <w:rsid w:val="002D5407"/>
    <w:rsid w:val="002D6F54"/>
    <w:rsid w:val="002E770B"/>
    <w:rsid w:val="00331C7D"/>
    <w:rsid w:val="003416CE"/>
    <w:rsid w:val="003444A1"/>
    <w:rsid w:val="00393B97"/>
    <w:rsid w:val="00394B64"/>
    <w:rsid w:val="003F2B53"/>
    <w:rsid w:val="00403333"/>
    <w:rsid w:val="004547D6"/>
    <w:rsid w:val="004B05FE"/>
    <w:rsid w:val="004C3084"/>
    <w:rsid w:val="004E5048"/>
    <w:rsid w:val="004E6811"/>
    <w:rsid w:val="00550365"/>
    <w:rsid w:val="005F0798"/>
    <w:rsid w:val="005F65FE"/>
    <w:rsid w:val="00605871"/>
    <w:rsid w:val="00610E05"/>
    <w:rsid w:val="00640D19"/>
    <w:rsid w:val="00655495"/>
    <w:rsid w:val="00655A8A"/>
    <w:rsid w:val="00657A7D"/>
    <w:rsid w:val="00664677"/>
    <w:rsid w:val="00667F1A"/>
    <w:rsid w:val="006737B3"/>
    <w:rsid w:val="00676A7E"/>
    <w:rsid w:val="00693AB7"/>
    <w:rsid w:val="00696FA4"/>
    <w:rsid w:val="006A1BC8"/>
    <w:rsid w:val="006C4B8F"/>
    <w:rsid w:val="006D6233"/>
    <w:rsid w:val="006E09FC"/>
    <w:rsid w:val="006E1632"/>
    <w:rsid w:val="006E29FD"/>
    <w:rsid w:val="006F78F5"/>
    <w:rsid w:val="00756B22"/>
    <w:rsid w:val="0076347C"/>
    <w:rsid w:val="00771423"/>
    <w:rsid w:val="007A056D"/>
    <w:rsid w:val="007A3B28"/>
    <w:rsid w:val="007B6513"/>
    <w:rsid w:val="007D65B6"/>
    <w:rsid w:val="007E236E"/>
    <w:rsid w:val="00813CCB"/>
    <w:rsid w:val="0082015D"/>
    <w:rsid w:val="00821805"/>
    <w:rsid w:val="00824B61"/>
    <w:rsid w:val="00892ABA"/>
    <w:rsid w:val="008A01DD"/>
    <w:rsid w:val="008B6A62"/>
    <w:rsid w:val="008D1156"/>
    <w:rsid w:val="008D32E5"/>
    <w:rsid w:val="008F310B"/>
    <w:rsid w:val="00903ECD"/>
    <w:rsid w:val="00917702"/>
    <w:rsid w:val="00917CAA"/>
    <w:rsid w:val="00924221"/>
    <w:rsid w:val="009655F8"/>
    <w:rsid w:val="00972635"/>
    <w:rsid w:val="009A5BB2"/>
    <w:rsid w:val="009B1A6C"/>
    <w:rsid w:val="009C37CC"/>
    <w:rsid w:val="009D2602"/>
    <w:rsid w:val="009E5979"/>
    <w:rsid w:val="009F1B1B"/>
    <w:rsid w:val="00A0729E"/>
    <w:rsid w:val="00A1731D"/>
    <w:rsid w:val="00A30186"/>
    <w:rsid w:val="00A40F69"/>
    <w:rsid w:val="00A46E02"/>
    <w:rsid w:val="00A638AE"/>
    <w:rsid w:val="00A64529"/>
    <w:rsid w:val="00A6751F"/>
    <w:rsid w:val="00A84E66"/>
    <w:rsid w:val="00A9082B"/>
    <w:rsid w:val="00AB2E4C"/>
    <w:rsid w:val="00AB7190"/>
    <w:rsid w:val="00AD2A08"/>
    <w:rsid w:val="00AF21EA"/>
    <w:rsid w:val="00B10BB4"/>
    <w:rsid w:val="00B4337A"/>
    <w:rsid w:val="00B7758E"/>
    <w:rsid w:val="00BA169F"/>
    <w:rsid w:val="00BB1A21"/>
    <w:rsid w:val="00BB4435"/>
    <w:rsid w:val="00BB5D94"/>
    <w:rsid w:val="00BC2A64"/>
    <w:rsid w:val="00BC64F7"/>
    <w:rsid w:val="00BD5D20"/>
    <w:rsid w:val="00BE1B62"/>
    <w:rsid w:val="00C019BD"/>
    <w:rsid w:val="00C038E6"/>
    <w:rsid w:val="00C312C2"/>
    <w:rsid w:val="00C63DA2"/>
    <w:rsid w:val="00C8681F"/>
    <w:rsid w:val="00C94351"/>
    <w:rsid w:val="00CA513D"/>
    <w:rsid w:val="00CA5524"/>
    <w:rsid w:val="00CB1583"/>
    <w:rsid w:val="00CE5FEB"/>
    <w:rsid w:val="00D040D6"/>
    <w:rsid w:val="00D225C3"/>
    <w:rsid w:val="00D24CB8"/>
    <w:rsid w:val="00D267B8"/>
    <w:rsid w:val="00D306A5"/>
    <w:rsid w:val="00D3663E"/>
    <w:rsid w:val="00D601C2"/>
    <w:rsid w:val="00D71693"/>
    <w:rsid w:val="00D829DA"/>
    <w:rsid w:val="00DC3246"/>
    <w:rsid w:val="00DD59FD"/>
    <w:rsid w:val="00DE6F67"/>
    <w:rsid w:val="00E54817"/>
    <w:rsid w:val="00E94FB7"/>
    <w:rsid w:val="00ED5487"/>
    <w:rsid w:val="00F36E02"/>
    <w:rsid w:val="00F50614"/>
    <w:rsid w:val="00F66AB3"/>
    <w:rsid w:val="00F77206"/>
    <w:rsid w:val="00FC367C"/>
    <w:rsid w:val="00FC59DA"/>
    <w:rsid w:val="00FD0C9F"/>
    <w:rsid w:val="00FE6DED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36A7"/>
  <w15:chartTrackingRefBased/>
  <w15:docId w15:val="{07877711-3182-44E8-89E5-8AA6FB60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5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2B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2B5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638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8AE"/>
  </w:style>
  <w:style w:type="paragraph" w:styleId="Piedepgina">
    <w:name w:val="footer"/>
    <w:basedOn w:val="Normal"/>
    <w:link w:val="PiedepginaCar"/>
    <w:uiPriority w:val="99"/>
    <w:unhideWhenUsed/>
    <w:rsid w:val="00A638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8AE"/>
  </w:style>
  <w:style w:type="character" w:customStyle="1" w:styleId="FontStyle22">
    <w:name w:val="Font Style22"/>
    <w:basedOn w:val="Fuentedeprrafopredeter"/>
    <w:uiPriority w:val="99"/>
    <w:rsid w:val="00D71693"/>
    <w:rPr>
      <w:rFonts w:ascii="Times New Roman" w:hAnsi="Times New Roman" w:cs="Times New Roman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2521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1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21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21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21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932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Monteagudo</dc:creator>
  <cp:keywords/>
  <dc:description/>
  <cp:lastModifiedBy>AGON Admin</cp:lastModifiedBy>
  <cp:revision>2</cp:revision>
  <dcterms:created xsi:type="dcterms:W3CDTF">2021-09-21T15:12:00Z</dcterms:created>
  <dcterms:modified xsi:type="dcterms:W3CDTF">2021-09-21T15:12:00Z</dcterms:modified>
</cp:coreProperties>
</file>