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D52A8" w14:textId="23250DA5" w:rsidR="00D9026C" w:rsidRPr="00AE027B" w:rsidRDefault="00D9026C" w:rsidP="00AE027B">
      <w:pPr>
        <w:pStyle w:val="headers"/>
        <w:ind w:left="-1350"/>
        <w:rPr>
          <w:sz w:val="24"/>
          <w:szCs w:val="24"/>
        </w:rPr>
      </w:pPr>
    </w:p>
    <w:p w14:paraId="4FF8B36C" w14:textId="77777777" w:rsidR="00D9026C" w:rsidRPr="00DC2862" w:rsidRDefault="00D9026C">
      <w:pPr>
        <w:pStyle w:val="headers"/>
        <w:rPr>
          <w:sz w:val="10"/>
          <w:szCs w:val="10"/>
        </w:rPr>
      </w:pPr>
    </w:p>
    <w:p w14:paraId="13081F83" w14:textId="77777777" w:rsidR="004F4565" w:rsidRPr="004A4D8B" w:rsidRDefault="004F4565" w:rsidP="00AE027B">
      <w:pPr>
        <w:pStyle w:val="headers"/>
        <w:ind w:left="-1350"/>
        <w:rPr>
          <w:sz w:val="24"/>
          <w:szCs w:val="24"/>
        </w:rPr>
      </w:pPr>
      <w:r w:rsidRPr="004A4D8B">
        <w:rPr>
          <w:sz w:val="24"/>
          <w:szCs w:val="24"/>
        </w:rPr>
        <w:t xml:space="preserve">Mr. </w:t>
      </w:r>
      <w:r w:rsidRPr="004A4D8B">
        <w:rPr>
          <w:rFonts w:ascii="Helv" w:hAnsi="Helv"/>
          <w:snapToGrid w:val="0"/>
          <w:color w:val="000000"/>
          <w:sz w:val="24"/>
          <w:szCs w:val="24"/>
        </w:rPr>
        <w:t xml:space="preserve">Richard Newfarmer </w:t>
      </w:r>
    </w:p>
    <w:p w14:paraId="39AD9FEF" w14:textId="77777777" w:rsidR="004F4565" w:rsidRPr="004A4D8B" w:rsidRDefault="008A6795" w:rsidP="00AE027B">
      <w:pPr>
        <w:pStyle w:val="titles"/>
        <w:ind w:left="-1350"/>
        <w:rPr>
          <w:sz w:val="24"/>
          <w:szCs w:val="24"/>
        </w:rPr>
      </w:pPr>
      <w:r w:rsidRPr="004A4D8B">
        <w:rPr>
          <w:sz w:val="24"/>
          <w:szCs w:val="24"/>
        </w:rPr>
        <w:t xml:space="preserve"> </w:t>
      </w:r>
    </w:p>
    <w:p w14:paraId="54DD6844" w14:textId="77777777" w:rsidR="004F4565" w:rsidRPr="00DC2862" w:rsidRDefault="004F4565" w:rsidP="00AE027B">
      <w:pPr>
        <w:pStyle w:val="titles"/>
        <w:ind w:left="-1350"/>
        <w:rPr>
          <w:sz w:val="16"/>
          <w:szCs w:val="16"/>
        </w:rPr>
      </w:pPr>
    </w:p>
    <w:p w14:paraId="11AE613A" w14:textId="52CC34B3" w:rsidR="004F4565" w:rsidRDefault="001A2C48" w:rsidP="00AE027B">
      <w:pPr>
        <w:pStyle w:val="NormalWeb"/>
        <w:spacing w:before="0" w:beforeAutospacing="0" w:after="312" w:afterAutospacing="0"/>
        <w:ind w:left="-1350"/>
        <w:rPr>
          <w:color w:val="000000"/>
          <w:sz w:val="22"/>
        </w:rPr>
      </w:pPr>
      <w:r>
        <w:rPr>
          <w:iCs/>
          <w:sz w:val="22"/>
        </w:rPr>
        <w:t xml:space="preserve">Richard Newfarmer </w:t>
      </w:r>
      <w:r w:rsidR="00414927">
        <w:rPr>
          <w:iCs/>
          <w:sz w:val="22"/>
        </w:rPr>
        <w:t xml:space="preserve">is </w:t>
      </w:r>
      <w:r w:rsidR="00A33EBC">
        <w:rPr>
          <w:iCs/>
          <w:sz w:val="22"/>
        </w:rPr>
        <w:t>Country Director</w:t>
      </w:r>
      <w:r w:rsidR="006D596A">
        <w:rPr>
          <w:iCs/>
          <w:sz w:val="22"/>
        </w:rPr>
        <w:t xml:space="preserve"> </w:t>
      </w:r>
      <w:r>
        <w:rPr>
          <w:iCs/>
          <w:sz w:val="22"/>
        </w:rPr>
        <w:t>for Rwanda</w:t>
      </w:r>
      <w:r w:rsidR="004978E6">
        <w:rPr>
          <w:iCs/>
          <w:sz w:val="22"/>
        </w:rPr>
        <w:t xml:space="preserve"> and </w:t>
      </w:r>
      <w:r w:rsidR="00BB01B0">
        <w:rPr>
          <w:iCs/>
          <w:sz w:val="22"/>
        </w:rPr>
        <w:t>Uganda</w:t>
      </w:r>
      <w:r w:rsidR="009F5D69">
        <w:rPr>
          <w:iCs/>
          <w:sz w:val="22"/>
        </w:rPr>
        <w:t xml:space="preserve"> at the International Growth Centre</w:t>
      </w:r>
      <w:r w:rsidR="004978E6">
        <w:rPr>
          <w:iCs/>
          <w:sz w:val="22"/>
        </w:rPr>
        <w:t xml:space="preserve"> (</w:t>
      </w:r>
      <w:r>
        <w:rPr>
          <w:iCs/>
          <w:sz w:val="22"/>
        </w:rPr>
        <w:t>Oxford University</w:t>
      </w:r>
      <w:r w:rsidR="006D596A">
        <w:rPr>
          <w:iCs/>
          <w:sz w:val="22"/>
        </w:rPr>
        <w:t xml:space="preserve"> and the London School of Economics</w:t>
      </w:r>
      <w:r w:rsidR="004978E6">
        <w:rPr>
          <w:iCs/>
          <w:sz w:val="22"/>
        </w:rPr>
        <w:t>).</w:t>
      </w:r>
      <w:r w:rsidR="006D596A">
        <w:rPr>
          <w:iCs/>
          <w:sz w:val="22"/>
        </w:rPr>
        <w:t xml:space="preserve"> </w:t>
      </w:r>
      <w:r w:rsidR="00BA5F96">
        <w:rPr>
          <w:iCs/>
          <w:sz w:val="22"/>
        </w:rPr>
        <w:t xml:space="preserve">He </w:t>
      </w:r>
      <w:r w:rsidR="00414927">
        <w:rPr>
          <w:iCs/>
          <w:sz w:val="22"/>
        </w:rPr>
        <w:t>a Member of the</w:t>
      </w:r>
      <w:r w:rsidR="00FF0B69">
        <w:rPr>
          <w:iCs/>
          <w:sz w:val="22"/>
        </w:rPr>
        <w:t xml:space="preserve"> Advisory</w:t>
      </w:r>
      <w:r w:rsidR="00414927">
        <w:rPr>
          <w:iCs/>
          <w:sz w:val="22"/>
        </w:rPr>
        <w:t xml:space="preserve"> Board for the WTO Chairs Program</w:t>
      </w:r>
      <w:r w:rsidR="00126CC7">
        <w:rPr>
          <w:iCs/>
          <w:sz w:val="22"/>
        </w:rPr>
        <w:t xml:space="preserve">, and </w:t>
      </w:r>
      <w:r w:rsidR="00BA5F96">
        <w:rPr>
          <w:iCs/>
          <w:sz w:val="22"/>
        </w:rPr>
        <w:t>consults with inte</w:t>
      </w:r>
      <w:bookmarkStart w:id="0" w:name="_GoBack"/>
      <w:bookmarkEnd w:id="0"/>
      <w:r w:rsidR="00BA5F96">
        <w:rPr>
          <w:iCs/>
          <w:sz w:val="22"/>
        </w:rPr>
        <w:t>rnational organizations, including the World Bank</w:t>
      </w:r>
      <w:r w:rsidR="00736C72">
        <w:rPr>
          <w:iCs/>
          <w:sz w:val="22"/>
        </w:rPr>
        <w:t>,</w:t>
      </w:r>
      <w:r w:rsidR="00BA5F96">
        <w:rPr>
          <w:iCs/>
          <w:sz w:val="22"/>
        </w:rPr>
        <w:t xml:space="preserve"> the O</w:t>
      </w:r>
      <w:r w:rsidR="00471C69">
        <w:rPr>
          <w:iCs/>
          <w:sz w:val="22"/>
        </w:rPr>
        <w:t>ECD</w:t>
      </w:r>
      <w:r w:rsidR="00736C72">
        <w:rPr>
          <w:iCs/>
          <w:sz w:val="22"/>
        </w:rPr>
        <w:t>, and the International Trade Centre</w:t>
      </w:r>
      <w:r w:rsidR="00BA5F96">
        <w:rPr>
          <w:iCs/>
          <w:sz w:val="22"/>
        </w:rPr>
        <w:t xml:space="preserve">. </w:t>
      </w:r>
      <w:r w:rsidR="006D596A">
        <w:rPr>
          <w:iCs/>
          <w:sz w:val="22"/>
        </w:rPr>
        <w:t xml:space="preserve"> </w:t>
      </w:r>
      <w:r w:rsidR="00AB0344">
        <w:rPr>
          <w:iCs/>
          <w:sz w:val="22"/>
        </w:rPr>
        <w:t>H</w:t>
      </w:r>
      <w:r w:rsidR="006D596A">
        <w:rPr>
          <w:iCs/>
          <w:sz w:val="22"/>
        </w:rPr>
        <w:t>e was</w:t>
      </w:r>
      <w:r w:rsidR="004F4565" w:rsidRPr="00445ACA">
        <w:rPr>
          <w:iCs/>
          <w:sz w:val="22"/>
        </w:rPr>
        <w:t xml:space="preserve"> </w:t>
      </w:r>
      <w:r w:rsidR="008A6795" w:rsidRPr="00445ACA">
        <w:rPr>
          <w:iCs/>
          <w:sz w:val="22"/>
        </w:rPr>
        <w:t xml:space="preserve">the World Bank’s </w:t>
      </w:r>
      <w:r w:rsidR="005B2F3C" w:rsidRPr="00445ACA">
        <w:rPr>
          <w:iCs/>
          <w:sz w:val="22"/>
        </w:rPr>
        <w:t xml:space="preserve">Special Representative to the </w:t>
      </w:r>
      <w:r w:rsidR="008A6795" w:rsidRPr="00445ACA">
        <w:rPr>
          <w:iCs/>
          <w:sz w:val="22"/>
        </w:rPr>
        <w:t>World Trade Organization</w:t>
      </w:r>
      <w:r w:rsidR="00DA4E60">
        <w:rPr>
          <w:iCs/>
          <w:sz w:val="22"/>
        </w:rPr>
        <w:t xml:space="preserve">, and served as a </w:t>
      </w:r>
      <w:r w:rsidR="00C57C81">
        <w:rPr>
          <w:iCs/>
          <w:sz w:val="22"/>
        </w:rPr>
        <w:t>lead</w:t>
      </w:r>
      <w:r w:rsidR="00DA4E60">
        <w:rPr>
          <w:iCs/>
          <w:sz w:val="22"/>
        </w:rPr>
        <w:t xml:space="preserve"> economist in Latin America</w:t>
      </w:r>
      <w:r w:rsidR="00414927">
        <w:rPr>
          <w:sz w:val="22"/>
        </w:rPr>
        <w:t xml:space="preserve">, East Asia, and the research department. </w:t>
      </w:r>
      <w:r w:rsidR="008A1559">
        <w:rPr>
          <w:sz w:val="22"/>
        </w:rPr>
        <w:t xml:space="preserve">He has authored numerous articles </w:t>
      </w:r>
      <w:r w:rsidR="00863D73">
        <w:rPr>
          <w:sz w:val="22"/>
        </w:rPr>
        <w:t xml:space="preserve">and books </w:t>
      </w:r>
      <w:r w:rsidR="008A1559">
        <w:rPr>
          <w:sz w:val="22"/>
        </w:rPr>
        <w:t>on trade</w:t>
      </w:r>
      <w:r w:rsidR="001E015C">
        <w:rPr>
          <w:sz w:val="22"/>
        </w:rPr>
        <w:t>, industrial policy,</w:t>
      </w:r>
      <w:r w:rsidR="00E84B2F">
        <w:rPr>
          <w:sz w:val="22"/>
        </w:rPr>
        <w:t xml:space="preserve"> and foreign investment, </w:t>
      </w:r>
      <w:r w:rsidR="002F2FE5">
        <w:rPr>
          <w:sz w:val="22"/>
        </w:rPr>
        <w:t xml:space="preserve">recently </w:t>
      </w:r>
      <w:r w:rsidR="00116984" w:rsidRPr="00445ACA">
        <w:rPr>
          <w:iCs/>
          <w:sz w:val="22"/>
        </w:rPr>
        <w:t>co-</w:t>
      </w:r>
      <w:r w:rsidR="00116984">
        <w:rPr>
          <w:iCs/>
          <w:sz w:val="22"/>
        </w:rPr>
        <w:t>author</w:t>
      </w:r>
      <w:r w:rsidR="002F2FE5">
        <w:rPr>
          <w:iCs/>
          <w:sz w:val="22"/>
        </w:rPr>
        <w:t>ing</w:t>
      </w:r>
      <w:r w:rsidR="00116984">
        <w:rPr>
          <w:iCs/>
          <w:sz w:val="22"/>
        </w:rPr>
        <w:t xml:space="preserve"> </w:t>
      </w:r>
      <w:r w:rsidR="00116984" w:rsidRPr="007A7C94">
        <w:rPr>
          <w:i/>
          <w:iCs/>
          <w:sz w:val="22"/>
        </w:rPr>
        <w:t>Trade in Zimbabwe</w:t>
      </w:r>
      <w:r w:rsidR="00116984">
        <w:rPr>
          <w:iCs/>
          <w:sz w:val="22"/>
        </w:rPr>
        <w:t xml:space="preserve"> and “Trade and Employment in a </w:t>
      </w:r>
      <w:proofErr w:type="gramStart"/>
      <w:r w:rsidR="00116984">
        <w:rPr>
          <w:iCs/>
          <w:sz w:val="22"/>
        </w:rPr>
        <w:t>Fast Changing</w:t>
      </w:r>
      <w:proofErr w:type="gramEnd"/>
      <w:r w:rsidR="00116984">
        <w:rPr>
          <w:iCs/>
          <w:sz w:val="22"/>
        </w:rPr>
        <w:t xml:space="preserve"> World” for the OECD. </w:t>
      </w:r>
      <w:r w:rsidR="00414927">
        <w:rPr>
          <w:sz w:val="22"/>
        </w:rPr>
        <w:t xml:space="preserve"> </w:t>
      </w:r>
    </w:p>
    <w:sectPr w:rsidR="004F4565" w:rsidSect="00631F88">
      <w:type w:val="continuous"/>
      <w:pgSz w:w="12240" w:h="15840" w:code="1"/>
      <w:pgMar w:top="810" w:right="1440" w:bottom="806" w:left="32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Heading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Heading9"/>
      <w:lvlText w:val="%9."/>
      <w:legacy w:legacy="1" w:legacySpace="0" w:legacyIndent="720"/>
      <w:lvlJc w:val="left"/>
      <w:pPr>
        <w:ind w:left="36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EE"/>
    <w:rsid w:val="0004016F"/>
    <w:rsid w:val="000447A0"/>
    <w:rsid w:val="00050DEE"/>
    <w:rsid w:val="000A20D3"/>
    <w:rsid w:val="000D76F7"/>
    <w:rsid w:val="000E0CC8"/>
    <w:rsid w:val="00102F1E"/>
    <w:rsid w:val="0010672D"/>
    <w:rsid w:val="00116984"/>
    <w:rsid w:val="00126CC7"/>
    <w:rsid w:val="001341D7"/>
    <w:rsid w:val="00162573"/>
    <w:rsid w:val="0018589F"/>
    <w:rsid w:val="00192DF6"/>
    <w:rsid w:val="00196121"/>
    <w:rsid w:val="001A2C48"/>
    <w:rsid w:val="001C2A4B"/>
    <w:rsid w:val="001C5C94"/>
    <w:rsid w:val="001D5263"/>
    <w:rsid w:val="001E015C"/>
    <w:rsid w:val="001E5569"/>
    <w:rsid w:val="00220877"/>
    <w:rsid w:val="00220A85"/>
    <w:rsid w:val="00246085"/>
    <w:rsid w:val="0025147E"/>
    <w:rsid w:val="00285092"/>
    <w:rsid w:val="002A193E"/>
    <w:rsid w:val="002B4394"/>
    <w:rsid w:val="002F2FE5"/>
    <w:rsid w:val="002F45EE"/>
    <w:rsid w:val="00327837"/>
    <w:rsid w:val="003567D6"/>
    <w:rsid w:val="00373CA8"/>
    <w:rsid w:val="003A3874"/>
    <w:rsid w:val="003A6234"/>
    <w:rsid w:val="003B4B94"/>
    <w:rsid w:val="003D4F2F"/>
    <w:rsid w:val="003D6F82"/>
    <w:rsid w:val="003F4F85"/>
    <w:rsid w:val="003F7767"/>
    <w:rsid w:val="00401F07"/>
    <w:rsid w:val="00414927"/>
    <w:rsid w:val="00445ACA"/>
    <w:rsid w:val="0047077C"/>
    <w:rsid w:val="00471C69"/>
    <w:rsid w:val="00473B9D"/>
    <w:rsid w:val="00494A2C"/>
    <w:rsid w:val="004978E6"/>
    <w:rsid w:val="004A4D8B"/>
    <w:rsid w:val="004F197B"/>
    <w:rsid w:val="004F4565"/>
    <w:rsid w:val="00556B93"/>
    <w:rsid w:val="00560085"/>
    <w:rsid w:val="00576464"/>
    <w:rsid w:val="005B2F3C"/>
    <w:rsid w:val="00631F88"/>
    <w:rsid w:val="00645A52"/>
    <w:rsid w:val="00684E00"/>
    <w:rsid w:val="00697E81"/>
    <w:rsid w:val="006D596A"/>
    <w:rsid w:val="006D719C"/>
    <w:rsid w:val="006E00FD"/>
    <w:rsid w:val="006F71F7"/>
    <w:rsid w:val="00735018"/>
    <w:rsid w:val="00736C72"/>
    <w:rsid w:val="007524E8"/>
    <w:rsid w:val="00760625"/>
    <w:rsid w:val="007771D3"/>
    <w:rsid w:val="007A7C94"/>
    <w:rsid w:val="007C3562"/>
    <w:rsid w:val="00813347"/>
    <w:rsid w:val="00861B2A"/>
    <w:rsid w:val="00863D73"/>
    <w:rsid w:val="00871D69"/>
    <w:rsid w:val="008764CF"/>
    <w:rsid w:val="00890BBD"/>
    <w:rsid w:val="008A1559"/>
    <w:rsid w:val="008A32B0"/>
    <w:rsid w:val="008A47A6"/>
    <w:rsid w:val="008A6795"/>
    <w:rsid w:val="008F53A3"/>
    <w:rsid w:val="00905152"/>
    <w:rsid w:val="00907DB0"/>
    <w:rsid w:val="00912091"/>
    <w:rsid w:val="00950EE5"/>
    <w:rsid w:val="00952280"/>
    <w:rsid w:val="009747C4"/>
    <w:rsid w:val="009B0412"/>
    <w:rsid w:val="009F5D69"/>
    <w:rsid w:val="00A133ED"/>
    <w:rsid w:val="00A30820"/>
    <w:rsid w:val="00A33EBC"/>
    <w:rsid w:val="00A4581D"/>
    <w:rsid w:val="00AA4876"/>
    <w:rsid w:val="00AB0344"/>
    <w:rsid w:val="00AD51D9"/>
    <w:rsid w:val="00AE027B"/>
    <w:rsid w:val="00AE2922"/>
    <w:rsid w:val="00B132D6"/>
    <w:rsid w:val="00B57AE8"/>
    <w:rsid w:val="00BA2E19"/>
    <w:rsid w:val="00BA5F96"/>
    <w:rsid w:val="00BB01B0"/>
    <w:rsid w:val="00C007A4"/>
    <w:rsid w:val="00C255EE"/>
    <w:rsid w:val="00C57C81"/>
    <w:rsid w:val="00C776C8"/>
    <w:rsid w:val="00CD5AAD"/>
    <w:rsid w:val="00D20026"/>
    <w:rsid w:val="00D23779"/>
    <w:rsid w:val="00D44485"/>
    <w:rsid w:val="00D5089D"/>
    <w:rsid w:val="00D64E75"/>
    <w:rsid w:val="00D9026C"/>
    <w:rsid w:val="00D97B0F"/>
    <w:rsid w:val="00DA4E60"/>
    <w:rsid w:val="00DC2862"/>
    <w:rsid w:val="00DF432A"/>
    <w:rsid w:val="00DF62A7"/>
    <w:rsid w:val="00E16805"/>
    <w:rsid w:val="00E16E1C"/>
    <w:rsid w:val="00E3670F"/>
    <w:rsid w:val="00E46322"/>
    <w:rsid w:val="00E5683D"/>
    <w:rsid w:val="00E573EA"/>
    <w:rsid w:val="00E81C2F"/>
    <w:rsid w:val="00E84B2F"/>
    <w:rsid w:val="00E90306"/>
    <w:rsid w:val="00E931AF"/>
    <w:rsid w:val="00EA0FC8"/>
    <w:rsid w:val="00ED3D37"/>
    <w:rsid w:val="00FD1DB4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8FFE4"/>
  <w15:docId w15:val="{D223A692-4EAB-4752-B862-60E66B7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3347"/>
    <w:rPr>
      <w:sz w:val="24"/>
    </w:rPr>
  </w:style>
  <w:style w:type="paragraph" w:styleId="Heading1">
    <w:name w:val="heading 1"/>
    <w:basedOn w:val="Normal"/>
    <w:next w:val="BankNormal"/>
    <w:qFormat/>
    <w:rsid w:val="00813347"/>
    <w:pPr>
      <w:numPr>
        <w:numId w:val="1"/>
      </w:numPr>
      <w:spacing w:after="12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BankNormal"/>
    <w:qFormat/>
    <w:rsid w:val="00813347"/>
    <w:pPr>
      <w:numPr>
        <w:ilvl w:val="1"/>
        <w:numId w:val="1"/>
      </w:numPr>
      <w:spacing w:before="240" w:after="360"/>
      <w:ind w:firstLine="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BankNormal"/>
    <w:qFormat/>
    <w:rsid w:val="00813347"/>
    <w:pPr>
      <w:numPr>
        <w:ilvl w:val="2"/>
        <w:numId w:val="1"/>
      </w:numPr>
      <w:spacing w:before="120" w:after="120"/>
      <w:ind w:firstLine="0"/>
      <w:outlineLvl w:val="2"/>
    </w:pPr>
    <w:rPr>
      <w:b/>
    </w:rPr>
  </w:style>
  <w:style w:type="paragraph" w:styleId="Heading4">
    <w:name w:val="heading 4"/>
    <w:basedOn w:val="Normal"/>
    <w:next w:val="BankNormal"/>
    <w:qFormat/>
    <w:rsid w:val="00813347"/>
    <w:pPr>
      <w:numPr>
        <w:ilvl w:val="3"/>
        <w:numId w:val="1"/>
      </w:numPr>
      <w:spacing w:before="120" w:after="120"/>
      <w:ind w:firstLine="0"/>
      <w:outlineLvl w:val="3"/>
    </w:pPr>
    <w:rPr>
      <w:b/>
      <w:i/>
    </w:rPr>
  </w:style>
  <w:style w:type="paragraph" w:styleId="Heading5">
    <w:name w:val="heading 5"/>
    <w:basedOn w:val="Normal"/>
    <w:next w:val="BankNormal"/>
    <w:qFormat/>
    <w:rsid w:val="00813347"/>
    <w:pPr>
      <w:numPr>
        <w:ilvl w:val="4"/>
        <w:numId w:val="1"/>
      </w:numPr>
      <w:spacing w:before="120" w:after="120"/>
      <w:outlineLvl w:val="4"/>
    </w:pPr>
  </w:style>
  <w:style w:type="paragraph" w:styleId="Heading6">
    <w:name w:val="heading 6"/>
    <w:basedOn w:val="Normal"/>
    <w:next w:val="BankNormal"/>
    <w:qFormat/>
    <w:rsid w:val="00813347"/>
    <w:pPr>
      <w:numPr>
        <w:ilvl w:val="5"/>
        <w:numId w:val="1"/>
      </w:numPr>
      <w:spacing w:before="120" w:after="120"/>
      <w:outlineLvl w:val="5"/>
    </w:pPr>
  </w:style>
  <w:style w:type="paragraph" w:styleId="Heading7">
    <w:name w:val="heading 7"/>
    <w:basedOn w:val="Normal"/>
    <w:next w:val="BankNormal"/>
    <w:qFormat/>
    <w:rsid w:val="00813347"/>
    <w:pPr>
      <w:numPr>
        <w:ilvl w:val="6"/>
        <w:numId w:val="1"/>
      </w:numPr>
      <w:spacing w:before="120" w:after="120"/>
      <w:outlineLvl w:val="6"/>
    </w:pPr>
  </w:style>
  <w:style w:type="paragraph" w:styleId="Heading8">
    <w:name w:val="heading 8"/>
    <w:basedOn w:val="Normal"/>
    <w:next w:val="BankNormal"/>
    <w:qFormat/>
    <w:rsid w:val="00813347"/>
    <w:pPr>
      <w:numPr>
        <w:ilvl w:val="7"/>
        <w:numId w:val="1"/>
      </w:numPr>
      <w:spacing w:before="120" w:after="120"/>
      <w:outlineLvl w:val="7"/>
    </w:pPr>
  </w:style>
  <w:style w:type="paragraph" w:styleId="Heading9">
    <w:name w:val="heading 9"/>
    <w:basedOn w:val="Normal"/>
    <w:next w:val="BankNormal"/>
    <w:qFormat/>
    <w:rsid w:val="00813347"/>
    <w:pPr>
      <w:numPr>
        <w:ilvl w:val="8"/>
        <w:numId w:val="1"/>
      </w:numPr>
      <w:spacing w:before="12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basedOn w:val="Normal"/>
    <w:next w:val="Normal"/>
    <w:rsid w:val="00813347"/>
    <w:pPr>
      <w:spacing w:after="360"/>
    </w:pPr>
  </w:style>
  <w:style w:type="paragraph" w:styleId="Footer">
    <w:name w:val="footer"/>
    <w:basedOn w:val="Normal"/>
    <w:rsid w:val="00813347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813347"/>
    <w:rPr>
      <w:rFonts w:ascii="Times New Roman" w:hAnsi="Times New Roman"/>
      <w:position w:val="8"/>
      <w:sz w:val="24"/>
      <w:vertAlign w:val="superscript"/>
    </w:rPr>
  </w:style>
  <w:style w:type="paragraph" w:styleId="FootnoteText">
    <w:name w:val="footnote text"/>
    <w:basedOn w:val="Normal"/>
    <w:semiHidden/>
    <w:rsid w:val="00813347"/>
    <w:pPr>
      <w:spacing w:before="120"/>
      <w:ind w:left="432" w:hanging="432"/>
    </w:pPr>
    <w:rPr>
      <w:sz w:val="20"/>
    </w:rPr>
  </w:style>
  <w:style w:type="paragraph" w:styleId="Header">
    <w:name w:val="header"/>
    <w:basedOn w:val="Normal"/>
    <w:rsid w:val="00813347"/>
    <w:pPr>
      <w:tabs>
        <w:tab w:val="center" w:pos="4320"/>
        <w:tab w:val="left" w:pos="7200"/>
      </w:tabs>
    </w:pPr>
  </w:style>
  <w:style w:type="paragraph" w:styleId="NormalIndent">
    <w:name w:val="Normal Indent"/>
    <w:basedOn w:val="Normal"/>
    <w:rsid w:val="00813347"/>
    <w:pPr>
      <w:ind w:left="720"/>
    </w:pPr>
  </w:style>
  <w:style w:type="paragraph" w:customStyle="1" w:styleId="TextBox">
    <w:name w:val="Text Box"/>
    <w:basedOn w:val="Normal"/>
    <w:rsid w:val="00813347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rsid w:val="00813347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rsid w:val="00813347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rsid w:val="00813347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OC1">
    <w:name w:val="toc 1"/>
    <w:basedOn w:val="Normal"/>
    <w:next w:val="Normal"/>
    <w:semiHidden/>
    <w:rsid w:val="00813347"/>
    <w:pPr>
      <w:tabs>
        <w:tab w:val="right" w:leader="dot" w:pos="9360"/>
      </w:tabs>
      <w:spacing w:before="120" w:after="120"/>
    </w:pPr>
    <w:rPr>
      <w:caps/>
    </w:rPr>
  </w:style>
  <w:style w:type="paragraph" w:styleId="TOC2">
    <w:name w:val="toc 2"/>
    <w:basedOn w:val="Normal"/>
    <w:next w:val="Normal"/>
    <w:semiHidden/>
    <w:rsid w:val="00813347"/>
    <w:pPr>
      <w:tabs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semiHidden/>
    <w:rsid w:val="00813347"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semiHidden/>
    <w:rsid w:val="00813347"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semiHidden/>
    <w:rsid w:val="00813347"/>
    <w:pPr>
      <w:tabs>
        <w:tab w:val="right" w:leader="dot" w:pos="9360"/>
      </w:tabs>
      <w:ind w:left="720"/>
    </w:pPr>
    <w:rPr>
      <w:sz w:val="18"/>
    </w:rPr>
  </w:style>
  <w:style w:type="paragraph" w:customStyle="1" w:styleId="BankNormal">
    <w:name w:val="BankNormal"/>
    <w:basedOn w:val="Normal"/>
    <w:rsid w:val="00813347"/>
    <w:pPr>
      <w:spacing w:before="120" w:after="120"/>
    </w:pPr>
  </w:style>
  <w:style w:type="paragraph" w:customStyle="1" w:styleId="Heading1a">
    <w:name w:val="Heading 1a"/>
    <w:basedOn w:val="Heading1"/>
    <w:next w:val="BankNormal"/>
    <w:rsid w:val="00813347"/>
    <w:pPr>
      <w:outlineLvl w:val="9"/>
    </w:pPr>
  </w:style>
  <w:style w:type="paragraph" w:styleId="TOC6">
    <w:name w:val="toc 6"/>
    <w:basedOn w:val="Normal"/>
    <w:next w:val="Normal"/>
    <w:semiHidden/>
    <w:rsid w:val="00813347"/>
    <w:pPr>
      <w:tabs>
        <w:tab w:val="right" w:leader="dot" w:pos="9360"/>
      </w:tabs>
      <w:ind w:left="960"/>
    </w:pPr>
    <w:rPr>
      <w:sz w:val="18"/>
    </w:rPr>
  </w:style>
  <w:style w:type="paragraph" w:styleId="TOC7">
    <w:name w:val="toc 7"/>
    <w:basedOn w:val="Normal"/>
    <w:next w:val="Normal"/>
    <w:semiHidden/>
    <w:rsid w:val="00813347"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813347"/>
    <w:pPr>
      <w:tabs>
        <w:tab w:val="right" w:leader="dot" w:pos="9360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rsid w:val="00813347"/>
    <w:pPr>
      <w:tabs>
        <w:tab w:val="right" w:leader="dot" w:pos="9360"/>
      </w:tabs>
      <w:ind w:left="1680"/>
    </w:pPr>
    <w:rPr>
      <w:sz w:val="18"/>
    </w:rPr>
  </w:style>
  <w:style w:type="paragraph" w:customStyle="1" w:styleId="blob">
    <w:name w:val="blob"/>
    <w:basedOn w:val="Normal"/>
    <w:rsid w:val="00813347"/>
    <w:rPr>
      <w:b/>
      <w:sz w:val="28"/>
    </w:rPr>
  </w:style>
  <w:style w:type="paragraph" w:customStyle="1" w:styleId="headers">
    <w:name w:val="headers"/>
    <w:basedOn w:val="Normal"/>
    <w:rsid w:val="00813347"/>
    <w:rPr>
      <w:rFonts w:ascii="Arial" w:hAnsi="Arial"/>
      <w:b/>
      <w:sz w:val="38"/>
    </w:rPr>
  </w:style>
  <w:style w:type="paragraph" w:customStyle="1" w:styleId="titles">
    <w:name w:val="titles"/>
    <w:basedOn w:val="Normal"/>
    <w:rsid w:val="00813347"/>
    <w:rPr>
      <w:i/>
      <w:sz w:val="28"/>
    </w:rPr>
  </w:style>
  <w:style w:type="paragraph" w:styleId="BodyText">
    <w:name w:val="Body Text"/>
    <w:basedOn w:val="Normal"/>
    <w:rsid w:val="00813347"/>
    <w:rPr>
      <w:sz w:val="22"/>
    </w:rPr>
  </w:style>
  <w:style w:type="paragraph" w:styleId="BalloonText">
    <w:name w:val="Balloon Text"/>
    <w:basedOn w:val="Normal"/>
    <w:link w:val="BalloonTextChar"/>
    <w:rsid w:val="008F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F53A3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10D8-33E6-4D86-94E3-511EB6A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Mark Malloch Brown</vt:lpstr>
    </vt:vector>
  </TitlesOfParts>
  <Company>The World Bank Group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Mark Malloch Brown</dc:title>
  <dc:creator>External Affairs Department</dc:creator>
  <cp:lastModifiedBy>Richard Newfarmer</cp:lastModifiedBy>
  <cp:revision>4</cp:revision>
  <cp:lastPrinted>2010-06-22T12:46:00Z</cp:lastPrinted>
  <dcterms:created xsi:type="dcterms:W3CDTF">2018-02-22T16:37:00Z</dcterms:created>
  <dcterms:modified xsi:type="dcterms:W3CDTF">2018-02-22T16:40:00Z</dcterms:modified>
</cp:coreProperties>
</file>